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8577EC">
      <w:pPr>
        <w:pStyle w:val="Heading3"/>
        <w:jc w:val="center"/>
      </w:pPr>
      <w:bookmarkStart w:id="0" w:name="_GoBack"/>
      <w:bookmarkEnd w:id="0"/>
      <w:r>
        <w:t>Cape Cod Commission Model Bylaws and Regulations</w:t>
      </w:r>
    </w:p>
    <w:p w:rsidR="00000000" w:rsidRDefault="008577EC">
      <w:pPr>
        <w:pStyle w:val="Heading1"/>
        <w:jc w:val="center"/>
      </w:pPr>
      <w:r>
        <w:t>Village-Style Development Bylaw/Ordinance</w:t>
      </w:r>
      <w:r>
        <w:br/>
        <w:t>for Towns in Barnstable County, Massachusetts</w:t>
      </w:r>
    </w:p>
    <w:p w:rsidR="00000000" w:rsidRDefault="008577EC">
      <w:pPr>
        <w:spacing w:before="0" w:beforeAutospacing="0" w:after="0" w:afterAutospacing="0"/>
      </w:pPr>
    </w:p>
    <w:p w:rsidR="00000000" w:rsidRDefault="008577EC">
      <w:pPr>
        <w:pStyle w:val="Heading3"/>
      </w:pPr>
      <w:r>
        <w:t>Background</w:t>
      </w:r>
    </w:p>
    <w:p w:rsidR="00000000" w:rsidRDefault="008577EC">
      <w:pPr>
        <w:pStyle w:val="NormalWeb"/>
        <w:rPr>
          <w:rFonts w:eastAsia="Times New Roman"/>
        </w:rPr>
      </w:pPr>
      <w:r>
        <w:rPr>
          <w:rFonts w:eastAsia="Times New Roman"/>
        </w:rPr>
        <w:t>The Cape Cod Commission has created a model bylaw/ordinance for use by towns in Barnstable County to create</w:t>
      </w:r>
      <w:r>
        <w:rPr>
          <w:rFonts w:eastAsia="Times New Roman"/>
        </w:rPr>
        <w:t xml:space="preserve"> new and/or strengthen existing village centers. The model was drafted by the environmental services firm of Horsley &amp; Witten, Inc., in Barnstable, and the Boston law firm of Robinson &amp; Cole. The regulation is presented to help Cape towns fulfill many of t</w:t>
      </w:r>
      <w:r>
        <w:rPr>
          <w:rFonts w:eastAsia="Times New Roman"/>
        </w:rPr>
        <w:t xml:space="preserve">he recommendations presented in the 1994 publication, "Designing the Future to Honor the Past: Design Guidelines for Cape Cod." The design manual is available from the Cape Cod Commission in Barnstable. </w:t>
      </w:r>
    </w:p>
    <w:p w:rsidR="00000000" w:rsidRDefault="008577EC">
      <w:pPr>
        <w:pStyle w:val="NormalWeb"/>
        <w:rPr>
          <w:rFonts w:eastAsia="Times New Roman"/>
        </w:rPr>
      </w:pPr>
      <w:r>
        <w:rPr>
          <w:rFonts w:eastAsia="Times New Roman"/>
        </w:rPr>
        <w:t>The Cape's fifteen towns have in common many natural</w:t>
      </w:r>
      <w:r>
        <w:rPr>
          <w:rFonts w:eastAsia="Times New Roman"/>
        </w:rPr>
        <w:t>, social and economic traits. However, the historic development patterns and resulting architecture of the towns' village centers are quite different. Wellfleet and Falmouth, for example, have historic village centers, yet the centers have very different h</w:t>
      </w:r>
      <w:r>
        <w:rPr>
          <w:rFonts w:eastAsia="Times New Roman"/>
        </w:rPr>
        <w:t>istories -- differences reflected in architecture, building size and overall development patterns. So too with the other thirteen towns: similar development of a central village, but with different designs, bulk of structures and layout of road and pedestr</w:t>
      </w:r>
      <w:r>
        <w:rPr>
          <w:rFonts w:eastAsia="Times New Roman"/>
        </w:rPr>
        <w:t xml:space="preserve">ian ways. </w:t>
      </w:r>
    </w:p>
    <w:p w:rsidR="00000000" w:rsidRDefault="008577EC">
      <w:pPr>
        <w:pStyle w:val="NormalWeb"/>
        <w:rPr>
          <w:rFonts w:eastAsia="Times New Roman"/>
        </w:rPr>
      </w:pPr>
      <w:r>
        <w:rPr>
          <w:rFonts w:eastAsia="Times New Roman"/>
        </w:rPr>
        <w:t>Cape villages developed at different time periods and around different resources (i.e. agriculture, maritime industry, tourism). Their architecture and form generally reflect their periods of greatest growth. Understanding the historical develop</w:t>
      </w:r>
      <w:r>
        <w:rPr>
          <w:rFonts w:eastAsia="Times New Roman"/>
        </w:rPr>
        <w:t xml:space="preserve">ment patterns is helpful in developing regulations that encourage compatible future growth. </w:t>
      </w:r>
    </w:p>
    <w:p w:rsidR="00000000" w:rsidRDefault="008577EC">
      <w:pPr>
        <w:pStyle w:val="NormalWeb"/>
        <w:rPr>
          <w:rFonts w:eastAsia="Times New Roman"/>
        </w:rPr>
      </w:pPr>
      <w:r>
        <w:rPr>
          <w:rFonts w:eastAsia="Times New Roman"/>
        </w:rPr>
        <w:t>Over the past several decades, however, many towns have seen a trend toward development in a style that is inconsistent with the Cape's historic village center, an</w:t>
      </w:r>
      <w:r>
        <w:rPr>
          <w:rFonts w:eastAsia="Times New Roman"/>
        </w:rPr>
        <w:t>d some towns have felt a direct impact to the economic vitality of their "downtowns." This is the result of many independent factors. One likely factor has been the application of inflexible and, some argue, "suburban" zoning regulations that have prevente</w:t>
      </w:r>
      <w:r>
        <w:rPr>
          <w:rFonts w:eastAsia="Times New Roman"/>
        </w:rPr>
        <w:t xml:space="preserve">d many village centers from developing and redeveloping in the form and format of the original settlement patterns. </w:t>
      </w:r>
    </w:p>
    <w:p w:rsidR="00000000" w:rsidRDefault="008577EC">
      <w:pPr>
        <w:pStyle w:val="NormalWeb"/>
        <w:rPr>
          <w:rFonts w:eastAsia="Times New Roman"/>
        </w:rPr>
      </w:pPr>
      <w:r>
        <w:rPr>
          <w:rFonts w:eastAsia="Times New Roman"/>
        </w:rPr>
        <w:t>At issue for all Cape towns is the preservation and, in many cases, the resurrection of the functional and successful development of a cent</w:t>
      </w:r>
      <w:r>
        <w:rPr>
          <w:rFonts w:eastAsia="Times New Roman"/>
        </w:rPr>
        <w:t xml:space="preserve">ral village center(s). This bylaw/ordinance is designed to assist the Cape towns in revitalizing and strengthening their village centers through the use of flexible dimensional and use standards. </w:t>
      </w:r>
    </w:p>
    <w:p w:rsidR="00000000" w:rsidRDefault="008577EC">
      <w:pPr>
        <w:pStyle w:val="NormalWeb"/>
        <w:rPr>
          <w:rFonts w:eastAsia="Times New Roman"/>
        </w:rPr>
      </w:pPr>
      <w:r>
        <w:rPr>
          <w:rFonts w:eastAsia="Times New Roman"/>
        </w:rPr>
        <w:t>This model bylaw offers two possible approaches for encoura</w:t>
      </w:r>
      <w:r>
        <w:rPr>
          <w:rFonts w:eastAsia="Times New Roman"/>
        </w:rPr>
        <w:t>ging village-style development. One approach allows towns to significantly relax dimensional standards within the area(s) designated as village centers. An alternative approach is for towns to prescribe specific dimensional standards (perhaps with some fle</w:t>
      </w:r>
      <w:r>
        <w:rPr>
          <w:rFonts w:eastAsia="Times New Roman"/>
        </w:rPr>
        <w:t>xibility) following an analysis of the dimensional standards of those structures that are deemed desirable in terms of form and function. This option requires towns to actually measure the setbacks, height and bulk of those structures that residents believ</w:t>
      </w:r>
      <w:r>
        <w:rPr>
          <w:rFonts w:eastAsia="Times New Roman"/>
        </w:rPr>
        <w:t xml:space="preserve">e reflect the desired development pattern. Following these </w:t>
      </w:r>
      <w:r>
        <w:rPr>
          <w:rFonts w:eastAsia="Times New Roman"/>
        </w:rPr>
        <w:lastRenderedPageBreak/>
        <w:t>measurements, towns could adjust this regulation to more accurately mirror conditions as they exist today and those that they desire be replicated for the future. Please note that a sample of actua</w:t>
      </w:r>
      <w:r>
        <w:rPr>
          <w:rFonts w:eastAsia="Times New Roman"/>
        </w:rPr>
        <w:t xml:space="preserve">l measurements from selected Cape Cod villages accompanies this regulation. </w:t>
      </w:r>
    </w:p>
    <w:p w:rsidR="00000000" w:rsidRDefault="008577EC">
      <w:pPr>
        <w:pStyle w:val="NormalWeb"/>
        <w:rPr>
          <w:rFonts w:eastAsia="Times New Roman"/>
        </w:rPr>
      </w:pPr>
      <w:r>
        <w:rPr>
          <w:rFonts w:eastAsia="Times New Roman"/>
        </w:rPr>
        <w:t>The annotations and commentary which follow use the numbering and headings of the model bylaw/ordinance. The annotations and commentary will not be part of your bylaw/ordinance, b</w:t>
      </w:r>
      <w:r>
        <w:rPr>
          <w:rFonts w:eastAsia="Times New Roman"/>
        </w:rPr>
        <w:t xml:space="preserve">ut will serve as a "legislative history" of the intent of the drafters and the interpretation to be given to terms and provisions. </w:t>
      </w:r>
    </w:p>
    <w:p w:rsidR="00000000" w:rsidRDefault="008577EC">
      <w:pPr>
        <w:pStyle w:val="NormalWeb"/>
        <w:rPr>
          <w:rFonts w:eastAsia="Times New Roman"/>
        </w:rPr>
      </w:pPr>
      <w:r>
        <w:rPr>
          <w:rFonts w:eastAsia="Times New Roman"/>
        </w:rPr>
        <w:t xml:space="preserve">Despite the drafters' best intentions, there is no true "model" bylaw/ordinance, particularly in an area as diverse as Cape </w:t>
      </w:r>
      <w:r>
        <w:rPr>
          <w:rFonts w:eastAsia="Times New Roman"/>
        </w:rPr>
        <w:t xml:space="preserve">Cod. Towns are encouraged to revise the text and annotations within this bylaw/ordinance as they determine appropriate. </w:t>
      </w:r>
    </w:p>
    <w:p w:rsidR="00000000" w:rsidRDefault="008577EC">
      <w:pPr>
        <w:pStyle w:val="NormalWeb"/>
        <w:rPr>
          <w:rFonts w:eastAsia="Times New Roman"/>
        </w:rPr>
      </w:pPr>
      <w:r>
        <w:rPr>
          <w:rFonts w:eastAsia="Times New Roman"/>
          <w:b/>
        </w:rPr>
        <w:t>01.0 Purpose and Intent:</w:t>
      </w:r>
      <w:r>
        <w:rPr>
          <w:rFonts w:eastAsia="Times New Roman"/>
        </w:rPr>
        <w:t xml:space="preserve"> This bylaw/ordinance enables the development and re-development of Cape Cod towns' village centers in keeping </w:t>
      </w:r>
      <w:r>
        <w:rPr>
          <w:rFonts w:eastAsia="Times New Roman"/>
        </w:rPr>
        <w:t>with their historic development patterns, including the size and spacing of structures and open spaces. This bylaw/ordinance is intended to be used in conjunction with other regulations adopted by the town, including historic district regulations, site pla</w:t>
      </w:r>
      <w:r>
        <w:rPr>
          <w:rFonts w:eastAsia="Times New Roman"/>
        </w:rPr>
        <w:t xml:space="preserve">n review and other local bylaws/ordinances designed to encourage appropriate and consistent patterns of village development on Cape Cod. </w:t>
      </w:r>
    </w:p>
    <w:p w:rsidR="00000000" w:rsidRDefault="008577EC">
      <w:pPr>
        <w:pStyle w:val="NormalWeb"/>
        <w:rPr>
          <w:rFonts w:eastAsia="Times New Roman"/>
        </w:rPr>
      </w:pPr>
      <w:r>
        <w:rPr>
          <w:rFonts w:eastAsia="Times New Roman"/>
          <w:i/>
        </w:rPr>
        <w:t>Commentary:</w:t>
      </w:r>
      <w:r>
        <w:rPr>
          <w:rFonts w:eastAsia="Times New Roman"/>
        </w:rPr>
        <w:t xml:space="preserve"> This bylaw/ordinance does not regulate, per se, the physical appearance of new or reconstructed structures</w:t>
      </w:r>
      <w:r>
        <w:rPr>
          <w:rFonts w:eastAsia="Times New Roman"/>
        </w:rPr>
        <w:t>--that is best accomplished by historic district legislation and, to a lesser extent, site plan review regulations. Rather, this bylaw/ordinance is designed to allow individual towns to relax and revise underlying regulatory controls on new and rehabilitat</w:t>
      </w:r>
      <w:r>
        <w:rPr>
          <w:rFonts w:eastAsia="Times New Roman"/>
        </w:rPr>
        <w:t xml:space="preserve">ed structures. Note again, this bylaw/ordinance cannot be used to regulate and control the physical appearance of new or rehabilitated structures beyond their bulk, height or situation on a lot. However, proper use of this bylaw/ordinance can assist towns </w:t>
      </w:r>
      <w:r>
        <w:rPr>
          <w:rFonts w:eastAsia="Times New Roman"/>
        </w:rPr>
        <w:t>to recreate historic village development patterns and provide for much needed "in-fill" within several of the Cape's village centers. "In-fill" is loosely defined as developing or expanding development within a village center to provide continuity and cons</w:t>
      </w:r>
      <w:r>
        <w:rPr>
          <w:rFonts w:eastAsia="Times New Roman"/>
        </w:rPr>
        <w:t xml:space="preserve">istency with existing land uses and structures. </w:t>
      </w:r>
    </w:p>
    <w:p w:rsidR="00000000" w:rsidRDefault="008577EC">
      <w:pPr>
        <w:pStyle w:val="NormalWeb"/>
        <w:rPr>
          <w:rFonts w:eastAsia="Times New Roman"/>
        </w:rPr>
      </w:pPr>
      <w:r>
        <w:rPr>
          <w:rFonts w:eastAsia="Times New Roman"/>
          <w:b/>
        </w:rPr>
        <w:t>02.0 Definitions</w:t>
      </w:r>
      <w:r>
        <w:rPr>
          <w:rFonts w:eastAsia="Times New Roman"/>
        </w:rPr>
        <w:t xml:space="preserve"> </w:t>
      </w:r>
    </w:p>
    <w:p w:rsidR="00000000" w:rsidRDefault="008577EC">
      <w:pPr>
        <w:ind w:left="720" w:right="720"/>
      </w:pPr>
      <w:r>
        <w:rPr>
          <w:b/>
        </w:rPr>
        <w:t>02.1</w:t>
      </w:r>
      <w:r>
        <w:t xml:space="preserve"> </w:t>
      </w:r>
      <w:r>
        <w:rPr>
          <w:u w:val="single"/>
        </w:rPr>
        <w:t>Village Development (Overlay) District.</w:t>
      </w:r>
      <w:r>
        <w:t xml:space="preserve"> A(n) (overlay) district established by the Town Meeting/Town Council upon recommendation by the planning board as an area in which Cape Cod vill</w:t>
      </w:r>
      <w:r>
        <w:t>age style development should be encouraged.</w:t>
      </w:r>
    </w:p>
    <w:p w:rsidR="00000000" w:rsidRDefault="008577EC">
      <w:pPr>
        <w:pStyle w:val="NormalWeb"/>
        <w:rPr>
          <w:rFonts w:eastAsia="Times New Roman"/>
        </w:rPr>
      </w:pPr>
      <w:r>
        <w:rPr>
          <w:rFonts w:eastAsia="Times New Roman"/>
          <w:i/>
        </w:rPr>
        <w:t>Commentary:</w:t>
      </w:r>
      <w:r>
        <w:rPr>
          <w:rFonts w:eastAsia="Times New Roman"/>
        </w:rPr>
        <w:t xml:space="preserve"> This bylaw/ordinance is drafted to be adopted as either a new, traditional zoning district or as an overlay district. The purpose and effectiveness of the regulation will not change regardless of the </w:t>
      </w:r>
      <w:r>
        <w:rPr>
          <w:rFonts w:eastAsia="Times New Roman"/>
        </w:rPr>
        <w:t xml:space="preserve">method chosen. </w:t>
      </w:r>
    </w:p>
    <w:p w:rsidR="00000000" w:rsidRDefault="008577EC">
      <w:pPr>
        <w:pStyle w:val="NormalWeb"/>
        <w:rPr>
          <w:rFonts w:eastAsia="Times New Roman"/>
        </w:rPr>
      </w:pPr>
      <w:r>
        <w:rPr>
          <w:rFonts w:eastAsia="Times New Roman"/>
        </w:rPr>
        <w:t>An overlay district is a type of district that lies on top of another, like a bedspread over a blanket. The blanket is the underlying zoning district, such as a commercial zone with minimum and maximum lot and structure sizes. In an overlay</w:t>
      </w:r>
      <w:r>
        <w:rPr>
          <w:rFonts w:eastAsia="Times New Roman"/>
        </w:rPr>
        <w:t xml:space="preserve"> district, towns will superimpose a new level of requirements and opportunities over the underlying district. The overlay district in this regulation is established by the town, upon recommendation by the planning board, and should generally include pre-ex</w:t>
      </w:r>
      <w:r>
        <w:rPr>
          <w:rFonts w:eastAsia="Times New Roman"/>
        </w:rPr>
        <w:t xml:space="preserve">isting village centers, adjacent land areas that the community wants to include as a developed village center, as well as other areas in the community that the town wants to see developed as a village center. </w:t>
      </w:r>
    </w:p>
    <w:p w:rsidR="00000000" w:rsidRDefault="008577EC">
      <w:pPr>
        <w:pStyle w:val="NormalWeb"/>
        <w:rPr>
          <w:rFonts w:eastAsia="Times New Roman"/>
        </w:rPr>
      </w:pPr>
      <w:r>
        <w:rPr>
          <w:rFonts w:eastAsia="Times New Roman"/>
        </w:rPr>
        <w:t>Note that the use of an overlay district may h</w:t>
      </w:r>
      <w:r>
        <w:rPr>
          <w:rFonts w:eastAsia="Times New Roman"/>
        </w:rPr>
        <w:t>elp "call attention" to the goals of this regulation that would not otherwise be highlighted by means of a traditional zoning designation (e.g. a new or revised "business" zoning district). The purpose and intent of this regulation would not be diminished,</w:t>
      </w:r>
      <w:r>
        <w:rPr>
          <w:rFonts w:eastAsia="Times New Roman"/>
        </w:rPr>
        <w:t xml:space="preserve"> however, if towns opted for a traditional zoning designation in lieu of the overlay district recommended here. </w:t>
      </w:r>
    </w:p>
    <w:p w:rsidR="00000000" w:rsidRDefault="008577EC">
      <w:pPr>
        <w:pStyle w:val="NormalWeb"/>
        <w:ind w:left="720" w:right="720"/>
        <w:rPr>
          <w:rFonts w:eastAsia="Times New Roman"/>
        </w:rPr>
      </w:pPr>
      <w:r>
        <w:rPr>
          <w:rFonts w:eastAsia="Times New Roman"/>
        </w:rPr>
        <w:t xml:space="preserve">02.2 </w:t>
      </w:r>
      <w:r>
        <w:rPr>
          <w:rFonts w:eastAsia="Times New Roman"/>
          <w:u w:val="single"/>
        </w:rPr>
        <w:t>Special Permits (See Section 08.0).</w:t>
      </w:r>
      <w:r>
        <w:rPr>
          <w:rFonts w:eastAsia="Times New Roman"/>
        </w:rPr>
        <w:t xml:space="preserve"> </w:t>
      </w:r>
    </w:p>
    <w:p w:rsidR="00000000" w:rsidRDefault="008577EC">
      <w:pPr>
        <w:pStyle w:val="NormalWeb"/>
        <w:ind w:left="720" w:right="720"/>
        <w:rPr>
          <w:rFonts w:eastAsia="Times New Roman"/>
        </w:rPr>
      </w:pPr>
      <w:r>
        <w:rPr>
          <w:rFonts w:eastAsia="Times New Roman"/>
        </w:rPr>
        <w:lastRenderedPageBreak/>
        <w:t xml:space="preserve">Option 1: </w:t>
      </w:r>
    </w:p>
    <w:p w:rsidR="00000000" w:rsidRDefault="008577EC">
      <w:pPr>
        <w:pStyle w:val="NormalWeb"/>
        <w:ind w:left="720" w:right="720"/>
        <w:rPr>
          <w:rFonts w:eastAsia="Times New Roman"/>
        </w:rPr>
      </w:pPr>
      <w:r>
        <w:rPr>
          <w:rFonts w:eastAsia="Times New Roman"/>
        </w:rPr>
        <w:t>Special permits shall be required for all uses and structures required to obtain a special</w:t>
      </w:r>
      <w:r>
        <w:rPr>
          <w:rFonts w:eastAsia="Times New Roman"/>
        </w:rPr>
        <w:t xml:space="preserve"> permit by the (existing) (underlying) zoning district. </w:t>
      </w:r>
    </w:p>
    <w:p w:rsidR="00000000" w:rsidRDefault="008577EC">
      <w:pPr>
        <w:pStyle w:val="NormalWeb"/>
        <w:ind w:left="720" w:right="720"/>
        <w:rPr>
          <w:rFonts w:eastAsia="Times New Roman"/>
        </w:rPr>
      </w:pPr>
      <w:r>
        <w:rPr>
          <w:rFonts w:eastAsia="Times New Roman"/>
        </w:rPr>
        <w:t xml:space="preserve">Option 2: </w:t>
      </w:r>
    </w:p>
    <w:p w:rsidR="00000000" w:rsidRDefault="008577EC">
      <w:pPr>
        <w:pStyle w:val="NormalWeb"/>
        <w:ind w:left="720" w:right="720"/>
        <w:rPr>
          <w:rFonts w:eastAsia="Times New Roman"/>
        </w:rPr>
      </w:pPr>
      <w:r>
        <w:rPr>
          <w:rFonts w:eastAsia="Times New Roman"/>
        </w:rPr>
        <w:t>An increase of floor area by greater than _____ square feet through either the placement or construction of a new principal structure, a new accessory structure, or an addition to a princi</w:t>
      </w:r>
      <w:r>
        <w:rPr>
          <w:rFonts w:eastAsia="Times New Roman"/>
        </w:rPr>
        <w:t xml:space="preserve">pal or accessory structure shall be allowed only upon receipt of a special permit in accordance with this bylaw/ordinance and the zoning bylaw/ordinance of the town. </w:t>
      </w:r>
    </w:p>
    <w:p w:rsidR="00000000" w:rsidRDefault="008577EC">
      <w:pPr>
        <w:pStyle w:val="NormalWeb"/>
        <w:ind w:left="720" w:right="720"/>
        <w:rPr>
          <w:rFonts w:eastAsia="Times New Roman"/>
        </w:rPr>
      </w:pPr>
      <w:r>
        <w:rPr>
          <w:rFonts w:eastAsia="Times New Roman"/>
        </w:rPr>
        <w:t>(AUTHOR'S NOTE: Determination of the increase of floor area that triggers a special permi</w:t>
      </w:r>
      <w:r>
        <w:rPr>
          <w:rFonts w:eastAsia="Times New Roman"/>
        </w:rPr>
        <w:t xml:space="preserve">t requires completion of a general survey of the floor areas of existing developments within the village. This recommendation applies to both Option 1 as well as Option 2.) </w:t>
      </w:r>
    </w:p>
    <w:p w:rsidR="00000000" w:rsidRDefault="008577EC">
      <w:pPr>
        <w:pStyle w:val="NormalWeb"/>
        <w:rPr>
          <w:rFonts w:eastAsia="Times New Roman"/>
        </w:rPr>
      </w:pPr>
      <w:r>
        <w:rPr>
          <w:rFonts w:eastAsia="Times New Roman"/>
          <w:i/>
        </w:rPr>
        <w:t>Commentary:</w:t>
      </w:r>
      <w:r>
        <w:rPr>
          <w:rFonts w:eastAsia="Times New Roman"/>
        </w:rPr>
        <w:t xml:space="preserve"> Two options are presented with regard to the issuance of special permi</w:t>
      </w:r>
      <w:r>
        <w:rPr>
          <w:rFonts w:eastAsia="Times New Roman"/>
        </w:rPr>
        <w:t xml:space="preserve">ts. Option 1 repeats existing requirements for a special permit, either based on use or size of structure. </w:t>
      </w:r>
    </w:p>
    <w:p w:rsidR="00000000" w:rsidRDefault="008577EC">
      <w:pPr>
        <w:pStyle w:val="NormalWeb"/>
        <w:rPr>
          <w:rFonts w:eastAsia="Times New Roman"/>
        </w:rPr>
      </w:pPr>
      <w:r>
        <w:rPr>
          <w:rFonts w:eastAsia="Times New Roman"/>
        </w:rPr>
        <w:t>Option 2 establishes a special permit requirement based solely on size of structure. The threshold for when a special permit is required has been le</w:t>
      </w:r>
      <w:r>
        <w:rPr>
          <w:rFonts w:eastAsia="Times New Roman"/>
        </w:rPr>
        <w:t xml:space="preserve">ft blank; however, the </w:t>
      </w:r>
      <w:r>
        <w:rPr>
          <w:rFonts w:eastAsia="Times New Roman"/>
          <w:u w:val="single"/>
        </w:rPr>
        <w:t>suggested threshold is 5,000 square feet</w:t>
      </w:r>
      <w:r>
        <w:rPr>
          <w:rFonts w:eastAsia="Times New Roman"/>
        </w:rPr>
        <w:t>. Towns should consider carefully the level of development considered relevant for a special permit review, including whether it wants to include both principal and accessory structures as note</w:t>
      </w:r>
      <w:r>
        <w:rPr>
          <w:rFonts w:eastAsia="Times New Roman"/>
        </w:rPr>
        <w:t xml:space="preserve">d above, or only principal structures greater than a specified size (e.g. greater than 5,000 square feet). </w:t>
      </w:r>
    </w:p>
    <w:p w:rsidR="00000000" w:rsidRDefault="008577EC">
      <w:pPr>
        <w:ind w:left="720" w:right="720"/>
      </w:pPr>
      <w:r>
        <w:t xml:space="preserve">02.3 </w:t>
      </w:r>
      <w:r>
        <w:rPr>
          <w:u w:val="single"/>
        </w:rPr>
        <w:t>Special Permit Granting Authority (SPGA).</w:t>
      </w:r>
      <w:r>
        <w:t xml:space="preserve"> The special permit granting authority (SPGA) for this bylaw/ordinance shall be the planning board.</w:t>
      </w:r>
    </w:p>
    <w:p w:rsidR="00000000" w:rsidRDefault="008577EC">
      <w:pPr>
        <w:pStyle w:val="NormalWeb"/>
        <w:rPr>
          <w:rFonts w:eastAsia="Times New Roman"/>
        </w:rPr>
      </w:pPr>
      <w:r>
        <w:rPr>
          <w:rFonts w:eastAsia="Times New Roman"/>
          <w:b/>
        </w:rPr>
        <w:t>03</w:t>
      </w:r>
      <w:r>
        <w:rPr>
          <w:rFonts w:eastAsia="Times New Roman"/>
          <w:b/>
        </w:rPr>
        <w:t>.0 Pre-Application Conference Requirement:</w:t>
      </w:r>
      <w:r>
        <w:rPr>
          <w:rFonts w:eastAsia="Times New Roman"/>
        </w:rPr>
        <w:t xml:space="preserve"> </w:t>
      </w:r>
    </w:p>
    <w:p w:rsidR="00000000" w:rsidRDefault="008577EC">
      <w:pPr>
        <w:ind w:left="720" w:right="720"/>
      </w:pPr>
      <w:r>
        <w:t xml:space="preserve">03.1 </w:t>
      </w:r>
      <w:r>
        <w:rPr>
          <w:u w:val="single"/>
        </w:rPr>
        <w:t>Timing</w:t>
      </w:r>
      <w:r>
        <w:t>. Prior to the submission of an application for a special permit under this regulation, the applicant shall meet with the SPGA at a public meeting to discuss the proposed development in general terms a</w:t>
      </w:r>
      <w:r>
        <w:t>nd establish the plan filing requirements. The SPGA shall meet with an applicant under this regulation within twenty-one (21) days following a written request submitted to the SPGA and the Town Clerk. If the SPGA fails to meet with an applicant who has req</w:t>
      </w:r>
      <w:r>
        <w:t>uested such a meeting within twenty-one (21) days of said request and said meeting has not been postponed due to mutual agreement, the applicant may proceed with a special permit application under this regulation without need for a pre-application conferen</w:t>
      </w:r>
      <w:r>
        <w:t xml:space="preserve">ce. </w:t>
      </w:r>
    </w:p>
    <w:p w:rsidR="00000000" w:rsidRDefault="008577EC">
      <w:pPr>
        <w:pStyle w:val="NormalWeb"/>
        <w:ind w:left="720" w:right="720"/>
        <w:rPr>
          <w:rFonts w:eastAsia="Times New Roman"/>
        </w:rPr>
      </w:pPr>
      <w:r>
        <w:rPr>
          <w:rFonts w:eastAsia="Times New Roman"/>
        </w:rPr>
        <w:t xml:space="preserve">03.2 </w:t>
      </w:r>
      <w:r>
        <w:rPr>
          <w:rFonts w:eastAsia="Times New Roman"/>
          <w:u w:val="single"/>
        </w:rPr>
        <w:t>Filing Requirements</w:t>
      </w:r>
      <w:r>
        <w:rPr>
          <w:rFonts w:eastAsia="Times New Roman"/>
        </w:rPr>
        <w:t>. The purpose of the conference is to inform the SPGA as to the preliminary nature of the proposed project. As such, no formal filings are required for the pre-application conference. However, the applicant is encouraged to pre</w:t>
      </w:r>
      <w:r>
        <w:rPr>
          <w:rFonts w:eastAsia="Times New Roman"/>
        </w:rPr>
        <w:t>pare sufficient preliminary architectural and/or engineering drawings to inform the SPGA of the scale and overall design of the proposed project.</w:t>
      </w:r>
    </w:p>
    <w:p w:rsidR="00000000" w:rsidRDefault="008577EC">
      <w:pPr>
        <w:pStyle w:val="NormalWeb"/>
        <w:rPr>
          <w:rFonts w:eastAsia="Times New Roman"/>
        </w:rPr>
      </w:pPr>
      <w:r>
        <w:rPr>
          <w:rFonts w:eastAsia="Times New Roman"/>
          <w:i/>
        </w:rPr>
        <w:t>Commentary:</w:t>
      </w:r>
      <w:r>
        <w:rPr>
          <w:rFonts w:eastAsia="Times New Roman"/>
        </w:rPr>
        <w:t xml:space="preserve"> The purpose of a pre-application conference is to give the SPGA advance notice of an application f</w:t>
      </w:r>
      <w:r>
        <w:rPr>
          <w:rFonts w:eastAsia="Times New Roman"/>
        </w:rPr>
        <w:t>or development within the overlay district and remove, to the extent possible, some of the "pressure" that Boards experience once a formal special permit has been applied for. The conference is further designed to educate both the SPGA and the applicant as</w:t>
      </w:r>
      <w:r>
        <w:rPr>
          <w:rFonts w:eastAsia="Times New Roman"/>
        </w:rPr>
        <w:t xml:space="preserve"> to the project and the likely concerns raised by the project. Note that there are no formal filing requirements proposed in this model regulation. Towns </w:t>
      </w:r>
      <w:r>
        <w:rPr>
          <w:rFonts w:eastAsia="Times New Roman"/>
        </w:rPr>
        <w:lastRenderedPageBreak/>
        <w:t>are free to articulate specific filing requirements although it is recommended that these requirements</w:t>
      </w:r>
      <w:r>
        <w:rPr>
          <w:rFonts w:eastAsia="Times New Roman"/>
        </w:rPr>
        <w:t xml:space="preserve"> be kept to a minimum for this pre-filing phase. </w:t>
      </w:r>
    </w:p>
    <w:p w:rsidR="00000000" w:rsidRDefault="008577EC">
      <w:pPr>
        <w:pStyle w:val="NormalWeb"/>
        <w:rPr>
          <w:rFonts w:eastAsia="Times New Roman"/>
        </w:rPr>
      </w:pPr>
      <w:r>
        <w:rPr>
          <w:rFonts w:eastAsia="Times New Roman"/>
        </w:rPr>
        <w:t xml:space="preserve">Finally, towns with site plan review regulations that require pre-application meetings may wish to substitute the above-noted process with their existing site plan review regulations. </w:t>
      </w:r>
    </w:p>
    <w:p w:rsidR="00000000" w:rsidRDefault="008577EC">
      <w:pPr>
        <w:pStyle w:val="NormalWeb"/>
        <w:rPr>
          <w:rFonts w:eastAsia="Times New Roman"/>
        </w:rPr>
      </w:pPr>
      <w:r>
        <w:rPr>
          <w:rFonts w:eastAsia="Times New Roman"/>
          <w:b/>
        </w:rPr>
        <w:t>04.0 Site Planning St</w:t>
      </w:r>
      <w:r>
        <w:rPr>
          <w:rFonts w:eastAsia="Times New Roman"/>
          <w:b/>
        </w:rPr>
        <w:t>andards and Filing Requirements:</w:t>
      </w:r>
      <w:r>
        <w:rPr>
          <w:rFonts w:eastAsia="Times New Roman"/>
        </w:rPr>
        <w:t xml:space="preserve"> </w:t>
      </w:r>
    </w:p>
    <w:p w:rsidR="00000000" w:rsidRDefault="008577EC">
      <w:pPr>
        <w:ind w:left="720" w:right="720"/>
      </w:pPr>
      <w:r>
        <w:t xml:space="preserve">04.1 </w:t>
      </w:r>
      <w:r>
        <w:rPr>
          <w:u w:val="single"/>
        </w:rPr>
        <w:t>Access</w:t>
      </w:r>
      <w:r>
        <w:t>. New curb cuts on existing public ways shall be minimized. To the extent feasible, access to businesses shall be provided through one of the following methods: (a) through a common driveway serving adjacent lot</w:t>
      </w:r>
      <w:r>
        <w:t xml:space="preserve">s or premises; (b) through an existing side or rear street thus avoiding the principal thoroughfare or (c) through a cul-de-sac or loop road shared by adjacent lots or premises. </w:t>
      </w:r>
    </w:p>
    <w:p w:rsidR="00000000" w:rsidRDefault="008577EC">
      <w:pPr>
        <w:pStyle w:val="NormalWeb"/>
        <w:ind w:left="720" w:right="720"/>
        <w:rPr>
          <w:rFonts w:eastAsia="Times New Roman"/>
        </w:rPr>
      </w:pPr>
      <w:r>
        <w:rPr>
          <w:rFonts w:eastAsia="Times New Roman"/>
        </w:rPr>
        <w:t xml:space="preserve">04.2 </w:t>
      </w:r>
      <w:r>
        <w:rPr>
          <w:rFonts w:eastAsia="Times New Roman"/>
          <w:u w:val="single"/>
        </w:rPr>
        <w:t>Parking lot design</w:t>
      </w:r>
      <w:r>
        <w:rPr>
          <w:rFonts w:eastAsia="Times New Roman"/>
        </w:rPr>
        <w:t>. In addition to the provisions of Section 04.1, the f</w:t>
      </w:r>
      <w:r>
        <w:rPr>
          <w:rFonts w:eastAsia="Times New Roman"/>
        </w:rPr>
        <w:t xml:space="preserve">ollowing guidelines are included to ensure that new and renovated off-street parking areas are constructed in accordance with the village's character and the provisions of this bylaw/ordinance. </w:t>
      </w:r>
    </w:p>
    <w:p w:rsidR="00000000" w:rsidRDefault="008577EC">
      <w:pPr>
        <w:ind w:left="1440" w:right="1440"/>
      </w:pPr>
      <w:r>
        <w:t>(a). Parking areas shall be located to the side and rear of t</w:t>
      </w:r>
      <w:r>
        <w:t xml:space="preserve">he structure. No parking area shall be designed such that parking is within the required or authorized front yard setback. </w:t>
      </w:r>
    </w:p>
    <w:p w:rsidR="00000000" w:rsidRDefault="008577EC">
      <w:pPr>
        <w:pStyle w:val="NormalWeb"/>
        <w:ind w:left="1440" w:right="1440"/>
        <w:rPr>
          <w:rFonts w:eastAsia="Times New Roman"/>
        </w:rPr>
      </w:pPr>
      <w:r>
        <w:rPr>
          <w:rFonts w:eastAsia="Times New Roman"/>
        </w:rPr>
        <w:t xml:space="preserve">(b). To the extent possible, parking areas shall be shared with adjacent businesses. </w:t>
      </w:r>
    </w:p>
    <w:p w:rsidR="00000000" w:rsidRDefault="008577EC">
      <w:pPr>
        <w:pStyle w:val="NormalWeb"/>
        <w:ind w:left="1440" w:right="1440"/>
        <w:rPr>
          <w:rFonts w:eastAsia="Times New Roman"/>
        </w:rPr>
      </w:pPr>
      <w:r>
        <w:rPr>
          <w:rFonts w:eastAsia="Times New Roman"/>
        </w:rPr>
        <w:t>(c). Parking areas shall include provisions fo</w:t>
      </w:r>
      <w:r>
        <w:rPr>
          <w:rFonts w:eastAsia="Times New Roman"/>
        </w:rPr>
        <w:t xml:space="preserve">r the "parking" of bicycles in locations that are safely segregated from automobile traffic and parking. </w:t>
      </w:r>
    </w:p>
    <w:p w:rsidR="00000000" w:rsidRDefault="008577EC">
      <w:pPr>
        <w:pStyle w:val="NormalWeb"/>
        <w:ind w:left="1440" w:right="1440"/>
        <w:rPr>
          <w:rFonts w:eastAsia="Times New Roman"/>
        </w:rPr>
      </w:pPr>
      <w:r>
        <w:rPr>
          <w:rFonts w:eastAsia="Times New Roman"/>
        </w:rPr>
        <w:t xml:space="preserve">(d). Parking areas shall include adequate provisions for on-site retention and treatment of stormwater. </w:t>
      </w:r>
    </w:p>
    <w:p w:rsidR="00000000" w:rsidRDefault="008577EC">
      <w:pPr>
        <w:pStyle w:val="NormalWeb"/>
        <w:ind w:left="1440" w:right="1440"/>
        <w:rPr>
          <w:rFonts w:eastAsia="Times New Roman"/>
        </w:rPr>
      </w:pPr>
      <w:r>
        <w:rPr>
          <w:rFonts w:eastAsia="Times New Roman"/>
        </w:rPr>
        <w:t>(e). Parking areas serving all structures oth</w:t>
      </w:r>
      <w:r>
        <w:rPr>
          <w:rFonts w:eastAsia="Times New Roman"/>
        </w:rPr>
        <w:t>er than those solely for residential use shall be paved, unless an alternative surface is approved by the SPGA.</w:t>
      </w:r>
    </w:p>
    <w:p w:rsidR="00000000" w:rsidRDefault="008577EC">
      <w:pPr>
        <w:pStyle w:val="NormalWeb"/>
        <w:ind w:left="720" w:right="720"/>
        <w:rPr>
          <w:rFonts w:eastAsia="Times New Roman"/>
        </w:rPr>
      </w:pPr>
      <w:r>
        <w:rPr>
          <w:rFonts w:eastAsia="Times New Roman"/>
        </w:rPr>
        <w:t xml:space="preserve">04.3 </w:t>
      </w:r>
      <w:r>
        <w:rPr>
          <w:rFonts w:eastAsia="Times New Roman"/>
          <w:u w:val="single"/>
        </w:rPr>
        <w:t>Pedestrian Access</w:t>
      </w:r>
      <w:r>
        <w:rPr>
          <w:rFonts w:eastAsia="Times New Roman"/>
        </w:rPr>
        <w:t>. Provision for safe and convenient pedestrian access shall be incorporated into plans for new construction of buildings a</w:t>
      </w:r>
      <w:r>
        <w:rPr>
          <w:rFonts w:eastAsia="Times New Roman"/>
        </w:rPr>
        <w:t xml:space="preserve">nd parking areas and should be designed in concert with landscaping plans noted below. New construction should improve pedestrian access to building, sidewalks and parking areas and should be completed with considerations of pedestrian safety, handicapped </w:t>
      </w:r>
      <w:r>
        <w:rPr>
          <w:rFonts w:eastAsia="Times New Roman"/>
        </w:rPr>
        <w:t xml:space="preserve">access and visual quality. </w:t>
      </w:r>
    </w:p>
    <w:p w:rsidR="00000000" w:rsidRDefault="008577EC">
      <w:pPr>
        <w:pStyle w:val="NormalWeb"/>
        <w:ind w:left="720" w:right="720"/>
        <w:rPr>
          <w:rFonts w:eastAsia="Times New Roman"/>
        </w:rPr>
      </w:pPr>
      <w:r>
        <w:rPr>
          <w:rFonts w:eastAsia="Times New Roman"/>
        </w:rPr>
        <w:t xml:space="preserve">04.4 </w:t>
      </w:r>
      <w:r>
        <w:rPr>
          <w:rFonts w:eastAsia="Times New Roman"/>
          <w:u w:val="single"/>
        </w:rPr>
        <w:t>Landscaping and appearance</w:t>
      </w:r>
      <w:r>
        <w:rPr>
          <w:rFonts w:eastAsia="Times New Roman"/>
        </w:rPr>
        <w:t>. A key provision of this bylaw/ordinance is ensuring that appropriate landscaping and design is incorporated into new and expanded development within the overlay district. Landscape design plans s</w:t>
      </w:r>
      <w:r>
        <w:rPr>
          <w:rFonts w:eastAsia="Times New Roman"/>
        </w:rPr>
        <w:t>hould ordinarily be prepared by a landscape architect, although the SPGA may accept a plan prepared by one other than a landscape architect if it believes the plan meets the design guidelines noted below and is in concert with the intent of this regulation</w:t>
      </w:r>
      <w:r>
        <w:rPr>
          <w:rFonts w:eastAsia="Times New Roman"/>
        </w:rPr>
        <w:t xml:space="preserve">. </w:t>
      </w:r>
    </w:p>
    <w:p w:rsidR="00000000" w:rsidRDefault="008577EC">
      <w:pPr>
        <w:ind w:left="1440" w:right="1440"/>
      </w:pPr>
      <w:r>
        <w:lastRenderedPageBreak/>
        <w:t xml:space="preserve">(a). A landscaped buffer strip may be required adjacent to adjoining uses. This buffer strip shall be planted with a combination of grass, appropriate height shrubs and shade trees. </w:t>
      </w:r>
    </w:p>
    <w:p w:rsidR="00000000" w:rsidRDefault="008577EC">
      <w:pPr>
        <w:pStyle w:val="NormalWeb"/>
        <w:ind w:left="1440" w:right="1440"/>
        <w:rPr>
          <w:rFonts w:eastAsia="Times New Roman"/>
        </w:rPr>
      </w:pPr>
      <w:r>
        <w:rPr>
          <w:rFonts w:eastAsia="Times New Roman"/>
        </w:rPr>
        <w:t>(b). Large parking areas (e.g. greater than 20 parking spaces) shall b</w:t>
      </w:r>
      <w:r>
        <w:rPr>
          <w:rFonts w:eastAsia="Times New Roman"/>
        </w:rPr>
        <w:t>e separated by landscaped islands of eight (8) to ten (10) feet in width. In addition, a minimum of one (1) shade tree shall be planted for every three (3) parking spaces required or built, within appropriate locations on the lot(s). Note that the exact lo</w:t>
      </w:r>
      <w:r>
        <w:rPr>
          <w:rFonts w:eastAsia="Times New Roman"/>
        </w:rPr>
        <w:t xml:space="preserve">cation of the tree plantings is not specified. Rather, the most appropriate location of plantings shall be considered, including use of plantings to buffer neighboring properties, along the street frontage and pedestrian ways. Trees planted within parking </w:t>
      </w:r>
      <w:r>
        <w:rPr>
          <w:rFonts w:eastAsia="Times New Roman"/>
        </w:rPr>
        <w:t xml:space="preserve">areas shall be planted in protected pervious plots of at least 60 square feet of area. </w:t>
      </w:r>
    </w:p>
    <w:p w:rsidR="00000000" w:rsidRDefault="008577EC">
      <w:pPr>
        <w:pStyle w:val="NormalWeb"/>
        <w:ind w:left="1440" w:right="1440"/>
        <w:rPr>
          <w:rFonts w:eastAsia="Times New Roman"/>
        </w:rPr>
      </w:pPr>
      <w:r>
        <w:rPr>
          <w:rFonts w:eastAsia="Times New Roman"/>
        </w:rPr>
        <w:t>(c). Exposed storage areas, machinery, garbage "dumpsters," service areas, truckloading areas, utility buildings and structures shall be screened from the view of abutt</w:t>
      </w:r>
      <w:r>
        <w:rPr>
          <w:rFonts w:eastAsia="Times New Roman"/>
        </w:rPr>
        <w:t xml:space="preserve">ing properties and streets using plantings, fences and other methods compatible with the goals of this regulation. </w:t>
      </w:r>
    </w:p>
    <w:p w:rsidR="00000000" w:rsidRDefault="008577EC">
      <w:pPr>
        <w:pStyle w:val="NormalWeb"/>
        <w:ind w:left="1440" w:right="1440"/>
        <w:rPr>
          <w:rFonts w:eastAsia="Times New Roman"/>
        </w:rPr>
      </w:pPr>
      <w:r>
        <w:rPr>
          <w:rFonts w:eastAsia="Times New Roman"/>
        </w:rPr>
        <w:t>(d). To ensure that landscaped areas are maintained, the SPGA shall include as a provision of any special permit granted that a condition of</w:t>
      </w:r>
      <w:r>
        <w:rPr>
          <w:rFonts w:eastAsia="Times New Roman"/>
        </w:rPr>
        <w:t xml:space="preserve"> said special permit is the maintenance of the landscaping as approved by the SPGA. The beneficiary of any special permit under this regulation shall replace any tree or shrub that dies within one (1) growing season. Replacement trees or shrubs shall be of</w:t>
      </w:r>
      <w:r>
        <w:rPr>
          <w:rFonts w:eastAsia="Times New Roman"/>
        </w:rPr>
        <w:t xml:space="preserve"> similar type and size to the one(s) approved as part of the original approval.</w:t>
      </w:r>
    </w:p>
    <w:p w:rsidR="00000000" w:rsidRDefault="008577EC">
      <w:pPr>
        <w:pStyle w:val="NormalWeb"/>
        <w:ind w:left="720" w:right="720"/>
        <w:rPr>
          <w:rFonts w:eastAsia="Times New Roman"/>
        </w:rPr>
      </w:pPr>
      <w:r>
        <w:rPr>
          <w:rFonts w:eastAsia="Times New Roman"/>
        </w:rPr>
        <w:t xml:space="preserve">04.5 </w:t>
      </w:r>
      <w:r>
        <w:rPr>
          <w:rFonts w:eastAsia="Times New Roman"/>
          <w:u w:val="single"/>
        </w:rPr>
        <w:t>Plan Filing Requirements</w:t>
      </w:r>
      <w:r>
        <w:rPr>
          <w:rFonts w:eastAsia="Times New Roman"/>
        </w:rPr>
        <w:t xml:space="preserve">. Unless determined by the SPGA at the pre-application conference that some of the following requirements are not necessary to reach a decision on </w:t>
      </w:r>
      <w:r>
        <w:rPr>
          <w:rFonts w:eastAsia="Times New Roman"/>
        </w:rPr>
        <w:t xml:space="preserve">the merits of the application, the following plans/items shall be submitted. Plans shall be prepared by a registered architect, landscape architect and/or professional engineer licensed in the Commonwealth of Massachusetts. </w:t>
      </w:r>
    </w:p>
    <w:p w:rsidR="00000000" w:rsidRDefault="008577EC">
      <w:pPr>
        <w:ind w:left="1440" w:right="1440"/>
      </w:pPr>
      <w:r>
        <w:t>(a) A locus inset within the pl</w:t>
      </w:r>
      <w:r>
        <w:t xml:space="preserve">ans noted below identifying the site of the proposed development at a scale of 1" = 1,000'; </w:t>
      </w:r>
    </w:p>
    <w:p w:rsidR="00000000" w:rsidRDefault="008577EC">
      <w:pPr>
        <w:pStyle w:val="NormalWeb"/>
        <w:ind w:left="1440" w:right="1440"/>
        <w:rPr>
          <w:rFonts w:eastAsia="Times New Roman"/>
        </w:rPr>
      </w:pPr>
      <w:r>
        <w:rPr>
          <w:rFonts w:eastAsia="Times New Roman"/>
        </w:rPr>
        <w:t>(b) The plan view location and dimensions of all existing and proposed buildings on the lot(s) subject to this application on a plan not to exceed 1" = 40', clearl</w:t>
      </w:r>
      <w:r>
        <w:rPr>
          <w:rFonts w:eastAsia="Times New Roman"/>
        </w:rPr>
        <w:t xml:space="preserve">y showing the relationship between proposed development and existing structures within a radius of eight (800) hundred feet; </w:t>
      </w:r>
    </w:p>
    <w:p w:rsidR="00000000" w:rsidRDefault="008577EC">
      <w:pPr>
        <w:pStyle w:val="NormalWeb"/>
        <w:ind w:left="1440" w:right="1440"/>
        <w:rPr>
          <w:rFonts w:eastAsia="Times New Roman"/>
        </w:rPr>
      </w:pPr>
      <w:r>
        <w:rPr>
          <w:rFonts w:eastAsia="Times New Roman"/>
        </w:rPr>
        <w:t>(c) The profile/elevation view showing location and dimensions of all existing and proposed buildings as viewed from front, side a</w:t>
      </w:r>
      <w:r>
        <w:rPr>
          <w:rFonts w:eastAsia="Times New Roman"/>
        </w:rPr>
        <w:t xml:space="preserve">nd rear yards following completion of the proposed project on a plan not to exceed 1"= 40'; </w:t>
      </w:r>
    </w:p>
    <w:p w:rsidR="00000000" w:rsidRDefault="008577EC">
      <w:pPr>
        <w:pStyle w:val="NormalWeb"/>
        <w:ind w:left="1440" w:right="1440"/>
        <w:rPr>
          <w:rFonts w:eastAsia="Times New Roman"/>
        </w:rPr>
      </w:pPr>
      <w:r>
        <w:rPr>
          <w:rFonts w:eastAsia="Times New Roman"/>
        </w:rPr>
        <w:t>(d) The location and dimension of all existing and proposed buildings, parking areas, bicycle racks, roads, sidewalks, open spaces and utilities, including undergr</w:t>
      </w:r>
      <w:r>
        <w:rPr>
          <w:rFonts w:eastAsia="Times New Roman"/>
        </w:rPr>
        <w:t xml:space="preserve">ound utility lines, water, sewer, electric power, telephone, gas, outdoor illumination and cable television within a </w:t>
      </w:r>
      <w:r>
        <w:rPr>
          <w:rFonts w:eastAsia="Times New Roman"/>
        </w:rPr>
        <w:lastRenderedPageBreak/>
        <w:t xml:space="preserve">radius of eight (800) hundred feet of the locus on a plan not to exceed 1"= 100'; </w:t>
      </w:r>
    </w:p>
    <w:p w:rsidR="00000000" w:rsidRDefault="008577EC">
      <w:pPr>
        <w:pStyle w:val="NormalWeb"/>
        <w:ind w:left="1440" w:right="1440"/>
        <w:rPr>
          <w:rFonts w:eastAsia="Times New Roman"/>
        </w:rPr>
      </w:pPr>
      <w:r>
        <w:rPr>
          <w:rFonts w:eastAsia="Times New Roman"/>
        </w:rPr>
        <w:t>(e) The location, species and dimensions of trees and ot</w:t>
      </w:r>
      <w:r>
        <w:rPr>
          <w:rFonts w:eastAsia="Times New Roman"/>
        </w:rPr>
        <w:t xml:space="preserve">her landscaped features, both existing and proposed, within a radius of eight (800) hundred feet of the locus on a plan not to exceed 1"=100'; </w:t>
      </w:r>
    </w:p>
    <w:p w:rsidR="00000000" w:rsidRDefault="008577EC">
      <w:pPr>
        <w:pStyle w:val="NormalWeb"/>
        <w:ind w:left="1440" w:right="1440"/>
        <w:rPr>
          <w:rFonts w:eastAsia="Times New Roman"/>
        </w:rPr>
      </w:pPr>
      <w:r>
        <w:rPr>
          <w:rFonts w:eastAsia="Times New Roman"/>
        </w:rPr>
        <w:t>(f) In concert with the requirements of Section 04.4, the location, species and dimensions of trees and other la</w:t>
      </w:r>
      <w:r>
        <w:rPr>
          <w:rFonts w:eastAsia="Times New Roman"/>
        </w:rPr>
        <w:t>ndscaped features proposed on the lot(s) on a plan not to exceed 1" = 20'.</w:t>
      </w:r>
    </w:p>
    <w:p w:rsidR="00000000" w:rsidRDefault="008577EC">
      <w:pPr>
        <w:pStyle w:val="NormalWeb"/>
        <w:rPr>
          <w:rFonts w:eastAsia="Times New Roman"/>
        </w:rPr>
      </w:pPr>
      <w:r>
        <w:rPr>
          <w:rFonts w:eastAsia="Times New Roman"/>
          <w:i/>
        </w:rPr>
        <w:t>Commentary:</w:t>
      </w:r>
      <w:r>
        <w:rPr>
          <w:rFonts w:eastAsia="Times New Roman"/>
        </w:rPr>
        <w:t xml:space="preserve"> This regulation is designed to ensure that new or expanded development within the overlay district complies with the vision of community residents. It is recognized, how</w:t>
      </w:r>
      <w:r>
        <w:rPr>
          <w:rFonts w:eastAsia="Times New Roman"/>
        </w:rPr>
        <w:t>ever, that this regulation, if not properly applied, could result in structures and uses that threaten the very character it is designed to safeguard. Therefore, the regulation requires an applicant for a special permit to submit comprehensive plans and, w</w:t>
      </w:r>
      <w:r>
        <w:rPr>
          <w:rFonts w:eastAsia="Times New Roman"/>
        </w:rPr>
        <w:t xml:space="preserve">here appropriate, landscape renderings, to satisfy the SPGA's concerns regarding the potential impacts resulting from the proposed project. </w:t>
      </w:r>
    </w:p>
    <w:p w:rsidR="00000000" w:rsidRDefault="008577EC">
      <w:pPr>
        <w:pStyle w:val="NormalWeb"/>
        <w:rPr>
          <w:rFonts w:eastAsia="Times New Roman"/>
        </w:rPr>
      </w:pPr>
      <w:r>
        <w:rPr>
          <w:rFonts w:eastAsia="Times New Roman"/>
        </w:rPr>
        <w:t xml:space="preserve">This bylaw/ordinance incorporates the belief that prescribing minimum landscaping requirements has not resulted in </w:t>
      </w:r>
      <w:r>
        <w:rPr>
          <w:rFonts w:eastAsia="Times New Roman"/>
        </w:rPr>
        <w:t>desirable parking lots on, as well as off, Cape Cod. As a result, the landscaping and appearance standards noted above grant flexibility to the applicant and the SPGA to design and develop off-street parking areas that are attractive and in keeping with th</w:t>
      </w:r>
      <w:r>
        <w:rPr>
          <w:rFonts w:eastAsia="Times New Roman"/>
        </w:rPr>
        <w:t xml:space="preserve">e goals of this regulation and the character of the village. Thus the standards noted above should be considered as minimum standards. For example, please note that the ratio of 1 tree per 3 spaces is considered a minimum requirement; a far greater number </w:t>
      </w:r>
      <w:r>
        <w:rPr>
          <w:rFonts w:eastAsia="Times New Roman"/>
        </w:rPr>
        <w:t xml:space="preserve">of trees should ordinarily be provided. </w:t>
      </w:r>
    </w:p>
    <w:p w:rsidR="00000000" w:rsidRDefault="008577EC">
      <w:pPr>
        <w:pStyle w:val="NormalWeb"/>
        <w:rPr>
          <w:rFonts w:eastAsia="Times New Roman"/>
        </w:rPr>
      </w:pPr>
      <w:r>
        <w:rPr>
          <w:rFonts w:eastAsia="Times New Roman"/>
        </w:rPr>
        <w:t>Landscaping design suggestions, as well as grasses, shrubs and shade trees for use on Cape Cod are recommended in the 1994 publication "Designing the Future to Honor the Past," as may be amended from time to time an</w:t>
      </w:r>
      <w:r>
        <w:rPr>
          <w:rFonts w:eastAsia="Times New Roman"/>
        </w:rPr>
        <w:t xml:space="preserve">d the 1995 publication, "Route 6A Vegetation Management Plan," as may be amended from time to time. Use of these publications, available from the Cape Cod Commission, is strongly suggested. </w:t>
      </w:r>
    </w:p>
    <w:p w:rsidR="00000000" w:rsidRDefault="008577EC">
      <w:pPr>
        <w:pStyle w:val="NormalWeb"/>
        <w:rPr>
          <w:rFonts w:eastAsia="Times New Roman"/>
        </w:rPr>
      </w:pPr>
      <w:r>
        <w:rPr>
          <w:rFonts w:eastAsia="Times New Roman"/>
        </w:rPr>
        <w:t>Note that the model regulation as written does not include requir</w:t>
      </w:r>
      <w:r>
        <w:rPr>
          <w:rFonts w:eastAsia="Times New Roman"/>
        </w:rPr>
        <w:t xml:space="preserve">ements for architectural drawings. Rather, towns are encouraged to use their existing, or adopt new, historic district regulations to control and regulate building facades and design. </w:t>
      </w:r>
    </w:p>
    <w:p w:rsidR="00000000" w:rsidRDefault="008577EC">
      <w:pPr>
        <w:pStyle w:val="NormalWeb"/>
        <w:rPr>
          <w:rFonts w:eastAsia="Times New Roman"/>
        </w:rPr>
      </w:pPr>
      <w:r>
        <w:rPr>
          <w:rFonts w:eastAsia="Times New Roman"/>
        </w:rPr>
        <w:t>Finally, and as noted in Section 03.0, towns with site plan review regu</w:t>
      </w:r>
      <w:r>
        <w:rPr>
          <w:rFonts w:eastAsia="Times New Roman"/>
        </w:rPr>
        <w:t xml:space="preserve">lations may wish to substitute or amend the filing requirements noted above with requirements currently adopted and successfully used for site plan review. </w:t>
      </w:r>
    </w:p>
    <w:p w:rsidR="00000000" w:rsidRDefault="008577EC">
      <w:pPr>
        <w:pStyle w:val="NormalWeb"/>
        <w:rPr>
          <w:rFonts w:eastAsia="Times New Roman"/>
        </w:rPr>
      </w:pPr>
      <w:r>
        <w:rPr>
          <w:rFonts w:eastAsia="Times New Roman"/>
          <w:b/>
        </w:rPr>
        <w:t>Introduction to Sections 05.0 through 07.0.</w:t>
      </w:r>
      <w:r>
        <w:rPr>
          <w:rFonts w:eastAsia="Times New Roman"/>
        </w:rPr>
        <w:t xml:space="preserve"> </w:t>
      </w:r>
    </w:p>
    <w:p w:rsidR="00000000" w:rsidRDefault="008577EC">
      <w:pPr>
        <w:pStyle w:val="NormalWeb"/>
        <w:rPr>
          <w:rFonts w:eastAsia="Times New Roman"/>
        </w:rPr>
      </w:pPr>
      <w:r>
        <w:rPr>
          <w:rFonts w:eastAsia="Times New Roman"/>
        </w:rPr>
        <w:t>As noted in the background discussion, this regulation</w:t>
      </w:r>
      <w:r>
        <w:rPr>
          <w:rFonts w:eastAsia="Times New Roman"/>
        </w:rPr>
        <w:t xml:space="preserve"> rejects the "one size fits all" approach to village development on Cape Cod. No two villages are the same; no two villages would benefit identically from the same regulation. As a result, this model bylaw/ordinance requires each town adopting its contents</w:t>
      </w:r>
      <w:r>
        <w:rPr>
          <w:rFonts w:eastAsia="Times New Roman"/>
        </w:rPr>
        <w:t xml:space="preserve"> to establish appropriate standards for height, bulk, setback and parking requirements. While suggestions are provided below, the actual requirements are presented as "blanks." Towns, under the leadership of the planning board, Chamber of Commerce or a com</w:t>
      </w:r>
      <w:r>
        <w:rPr>
          <w:rFonts w:eastAsia="Times New Roman"/>
        </w:rPr>
        <w:t>bination of entities are encouraged to establish appropriate requirements for their villages. These requirements should, ideally, reflect past development patterns and future planning goals. They should include provisions for structures and uses that the t</w:t>
      </w:r>
      <w:r>
        <w:rPr>
          <w:rFonts w:eastAsia="Times New Roman"/>
        </w:rPr>
        <w:t xml:space="preserve">own would like to see repeated, and delete provisions for structures and uses that the town would not want to see constructed in the future. </w:t>
      </w:r>
    </w:p>
    <w:p w:rsidR="00000000" w:rsidRDefault="008577EC">
      <w:pPr>
        <w:pStyle w:val="NormalWeb"/>
        <w:rPr>
          <w:rFonts w:eastAsia="Times New Roman"/>
        </w:rPr>
      </w:pPr>
      <w:r>
        <w:rPr>
          <w:rFonts w:eastAsia="Times New Roman"/>
        </w:rPr>
        <w:t>To establish appropriate numbers for use in this regulation, it is recommended that pre-existing structures be mea</w:t>
      </w:r>
      <w:r>
        <w:rPr>
          <w:rFonts w:eastAsia="Times New Roman"/>
        </w:rPr>
        <w:t xml:space="preserve">sured in terms of height, bulk, setback, exterior square footage and if possible, interior square </w:t>
      </w:r>
      <w:r>
        <w:rPr>
          <w:rFonts w:eastAsia="Times New Roman"/>
        </w:rPr>
        <w:lastRenderedPageBreak/>
        <w:t xml:space="preserve">footage (useable interior space) and parking. Measurements can be either </w:t>
      </w:r>
      <w:r>
        <w:rPr>
          <w:rFonts w:eastAsia="Times New Roman"/>
          <w:u w:val="single"/>
        </w:rPr>
        <w:t>physical</w:t>
      </w:r>
      <w:r>
        <w:rPr>
          <w:rFonts w:eastAsia="Times New Roman"/>
        </w:rPr>
        <w:t xml:space="preserve"> (measurements with tape), </w:t>
      </w:r>
      <w:r>
        <w:rPr>
          <w:rFonts w:eastAsia="Times New Roman"/>
          <w:u w:val="single"/>
        </w:rPr>
        <w:t>determined from building or assessor department re</w:t>
      </w:r>
      <w:r>
        <w:rPr>
          <w:rFonts w:eastAsia="Times New Roman"/>
          <w:u w:val="single"/>
        </w:rPr>
        <w:t>cords</w:t>
      </w:r>
      <w:r>
        <w:rPr>
          <w:rFonts w:eastAsia="Times New Roman"/>
        </w:rPr>
        <w:t xml:space="preserve">, or a </w:t>
      </w:r>
      <w:r>
        <w:rPr>
          <w:rFonts w:eastAsia="Times New Roman"/>
          <w:u w:val="single"/>
        </w:rPr>
        <w:t>combination of both</w:t>
      </w:r>
      <w:r>
        <w:rPr>
          <w:rFonts w:eastAsia="Times New Roman"/>
        </w:rPr>
        <w:t>. Remember that the goal of these measurements is to establish what makes the village attractive as well as functional; what makes the village "work." Conversely, this process will help establish guidelines for avoiding whate</w:t>
      </w:r>
      <w:r>
        <w:rPr>
          <w:rFonts w:eastAsia="Times New Roman"/>
        </w:rPr>
        <w:t xml:space="preserve">ver mistakes have occurred in the past. While everyone in the community may agree on the fact that a structure does not "fit" within the village, few may agree on why. This process should help identify why a building or a series of buildings do not belong </w:t>
      </w:r>
      <w:r>
        <w:rPr>
          <w:rFonts w:eastAsia="Times New Roman"/>
        </w:rPr>
        <w:t xml:space="preserve">and establish guidelines through this regulation to avoid repetition in the future. </w:t>
      </w:r>
    </w:p>
    <w:p w:rsidR="00000000" w:rsidRDefault="008577EC">
      <w:pPr>
        <w:pStyle w:val="NormalWeb"/>
        <w:rPr>
          <w:rFonts w:eastAsia="Times New Roman"/>
        </w:rPr>
      </w:pPr>
      <w:r>
        <w:rPr>
          <w:rFonts w:eastAsia="Times New Roman"/>
        </w:rPr>
        <w:t>Thus, one of the principal objectives of this regulation is the development and re-development of village centers in concert with historic and accepted development practic</w:t>
      </w:r>
      <w:r>
        <w:rPr>
          <w:rFonts w:eastAsia="Times New Roman"/>
        </w:rPr>
        <w:t xml:space="preserve">es and styles. Note that exact symmetry with existing structures is not required, nor necessarily encouraged. Rather, consistency with the development style and bulk that is supported by the community is the primary goal. </w:t>
      </w:r>
    </w:p>
    <w:p w:rsidR="00000000" w:rsidRDefault="008577EC">
      <w:pPr>
        <w:pStyle w:val="NormalWeb"/>
        <w:rPr>
          <w:rFonts w:eastAsia="Times New Roman"/>
        </w:rPr>
      </w:pPr>
      <w:r>
        <w:rPr>
          <w:rFonts w:eastAsia="Times New Roman"/>
        </w:rPr>
        <w:t>Finally, applicants for a special</w:t>
      </w:r>
      <w:r>
        <w:rPr>
          <w:rFonts w:eastAsia="Times New Roman"/>
        </w:rPr>
        <w:t xml:space="preserve"> permit under this regulation, as well as the SPGA, are reminded that the 1994 publication "Designing the Future to Honor the Past" provides an excellent overview of development and re-development strategies for the Cape's villages. These strategies may be</w:t>
      </w:r>
      <w:r>
        <w:rPr>
          <w:rFonts w:eastAsia="Times New Roman"/>
        </w:rPr>
        <w:t xml:space="preserve"> incorporated directly into a Town's regulation or used as guidelines in reviewing the appropriateness of individual permit requests. For example, one of the recommendations, the placement of overhead wires underground, could be made a requirement of this </w:t>
      </w:r>
      <w:r>
        <w:rPr>
          <w:rFonts w:eastAsia="Times New Roman"/>
        </w:rPr>
        <w:t xml:space="preserve">regulation. To receive a special permit, an applicant would be required to place specified utilities underground, even though abutting properties used utilities from overhead wiring. </w:t>
      </w:r>
    </w:p>
    <w:p w:rsidR="00000000" w:rsidRDefault="008577EC">
      <w:pPr>
        <w:pStyle w:val="NormalWeb"/>
        <w:rPr>
          <w:rFonts w:eastAsia="Times New Roman"/>
        </w:rPr>
      </w:pPr>
      <w:r>
        <w:rPr>
          <w:rFonts w:eastAsia="Times New Roman"/>
        </w:rPr>
        <w:t>In the alternative, the SPGA could rely on the recommendation for underg</w:t>
      </w:r>
      <w:r>
        <w:rPr>
          <w:rFonts w:eastAsia="Times New Roman"/>
        </w:rPr>
        <w:t>round utilities made in the report in a more general fashion. Applicants would be encouraged to submit plans that followed the guidelines contained in the publication, but would only be required to comply with those specifically presented in the bylaw/ordi</w:t>
      </w:r>
      <w:r>
        <w:rPr>
          <w:rFonts w:eastAsia="Times New Roman"/>
        </w:rPr>
        <w:t xml:space="preserve">nance. </w:t>
      </w:r>
    </w:p>
    <w:p w:rsidR="00000000" w:rsidRDefault="008577EC">
      <w:pPr>
        <w:pStyle w:val="NormalWeb"/>
        <w:rPr>
          <w:rFonts w:eastAsia="Times New Roman"/>
        </w:rPr>
      </w:pPr>
      <w:r>
        <w:rPr>
          <w:rFonts w:eastAsia="Times New Roman"/>
        </w:rPr>
        <w:t>Regardless of the approach taken, the report, either in its current form or as amended by Towns via their local comprehensive plans, should be used to provide guidance to applicants and Board members regarding design, development and re-development</w:t>
      </w:r>
      <w:r>
        <w:rPr>
          <w:rFonts w:eastAsia="Times New Roman"/>
        </w:rPr>
        <w:t xml:space="preserve"> within designated village centers. </w:t>
      </w:r>
    </w:p>
    <w:p w:rsidR="00000000" w:rsidRDefault="008577EC">
      <w:pPr>
        <w:pStyle w:val="NormalWeb"/>
        <w:rPr>
          <w:rFonts w:eastAsia="Times New Roman"/>
        </w:rPr>
      </w:pPr>
      <w:r>
        <w:rPr>
          <w:rFonts w:eastAsia="Times New Roman"/>
          <w:b/>
        </w:rPr>
        <w:t>05.0 Height, Bulk and Setback within the Village Development Overlay District:</w:t>
      </w:r>
      <w:r>
        <w:rPr>
          <w:rFonts w:eastAsia="Times New Roman"/>
        </w:rPr>
        <w:t xml:space="preserve"> </w:t>
      </w:r>
    </w:p>
    <w:p w:rsidR="00000000" w:rsidRDefault="008577EC">
      <w:pPr>
        <w:ind w:left="720" w:right="720"/>
      </w:pPr>
      <w:r>
        <w:rPr>
          <w:b/>
        </w:rPr>
        <w:t>05.1</w:t>
      </w:r>
      <w:r>
        <w:t xml:space="preserve"> </w:t>
      </w:r>
      <w:r>
        <w:rPr>
          <w:u w:val="single"/>
        </w:rPr>
        <w:t>Height</w:t>
      </w:r>
      <w:r>
        <w:t xml:space="preserve"> </w:t>
      </w:r>
    </w:p>
    <w:p w:rsidR="00000000" w:rsidRDefault="008577EC">
      <w:pPr>
        <w:pStyle w:val="NormalWeb"/>
        <w:ind w:left="720" w:right="720"/>
        <w:rPr>
          <w:rFonts w:eastAsia="Times New Roman"/>
        </w:rPr>
      </w:pPr>
      <w:r>
        <w:rPr>
          <w:rFonts w:eastAsia="Times New Roman"/>
        </w:rPr>
        <w:t xml:space="preserve">Option 1: </w:t>
      </w:r>
    </w:p>
    <w:p w:rsidR="00000000" w:rsidRDefault="008577EC">
      <w:pPr>
        <w:pStyle w:val="NormalWeb"/>
        <w:ind w:left="720" w:right="720"/>
        <w:rPr>
          <w:rFonts w:eastAsia="Times New Roman"/>
        </w:rPr>
      </w:pPr>
      <w:r>
        <w:rPr>
          <w:rFonts w:eastAsia="Times New Roman"/>
        </w:rPr>
        <w:t>The maximum height of any new or expanded existing structure shall be _____ feet or ____ stories, whichever is less</w:t>
      </w:r>
      <w:r>
        <w:rPr>
          <w:rFonts w:eastAsia="Times New Roman"/>
        </w:rPr>
        <w:t xml:space="preserve">. </w:t>
      </w:r>
    </w:p>
    <w:p w:rsidR="00000000" w:rsidRDefault="008577EC">
      <w:pPr>
        <w:pStyle w:val="NormalWeb"/>
        <w:ind w:left="720" w:right="720"/>
        <w:rPr>
          <w:rFonts w:eastAsia="Times New Roman"/>
        </w:rPr>
      </w:pPr>
      <w:r>
        <w:rPr>
          <w:rFonts w:eastAsia="Times New Roman"/>
        </w:rPr>
        <w:t xml:space="preserve">Option 2: </w:t>
      </w:r>
    </w:p>
    <w:p w:rsidR="00000000" w:rsidRDefault="008577EC">
      <w:pPr>
        <w:pStyle w:val="NormalWeb"/>
        <w:ind w:left="720" w:right="720"/>
        <w:rPr>
          <w:rFonts w:eastAsia="Times New Roman"/>
        </w:rPr>
      </w:pPr>
      <w:r>
        <w:rPr>
          <w:rFonts w:eastAsia="Times New Roman"/>
        </w:rPr>
        <w:t>To accomplish the purposes of this bylaw/ordinance, the special permit granting authority (SPGA) is authorized to allow an increase in height of structures either in existence, as re-constructed, or as new construction, up to ____% above that</w:t>
      </w:r>
      <w:r>
        <w:rPr>
          <w:rFonts w:eastAsia="Times New Roman"/>
        </w:rPr>
        <w:t xml:space="preserve"> provided for in the underlying zoning district. This increase may be granted in conjunction with a reduction in required on-site parking spaces as provided for in Section 06.0, below. The SPGA shall allow this increase only upon a finding that the additio</w:t>
      </w:r>
      <w:r>
        <w:rPr>
          <w:rFonts w:eastAsia="Times New Roman"/>
        </w:rPr>
        <w:t>nal height is consistent with the scale of adjacent structures and is necessary to maintain the area's character. The SPGA must further find that the relaxation of height limitations will not interfere or negatively impact abutting properties, particularly</w:t>
      </w:r>
      <w:r>
        <w:rPr>
          <w:rFonts w:eastAsia="Times New Roman"/>
        </w:rPr>
        <w:t xml:space="preserve"> property used or zoned for residential purposes. </w:t>
      </w:r>
    </w:p>
    <w:p w:rsidR="00000000" w:rsidRDefault="008577EC">
      <w:pPr>
        <w:pStyle w:val="NormalWeb"/>
        <w:ind w:left="720" w:right="720"/>
        <w:rPr>
          <w:rFonts w:eastAsia="Times New Roman"/>
        </w:rPr>
      </w:pPr>
      <w:r>
        <w:rPr>
          <w:rFonts w:eastAsia="Times New Roman"/>
        </w:rPr>
        <w:lastRenderedPageBreak/>
        <w:t>(AUTHOR'S NOTE: Determination of the allowable range of building height requires completion of a general survey of the heights of existing developments within the village. This recommendation applies to bo</w:t>
      </w:r>
      <w:r>
        <w:rPr>
          <w:rFonts w:eastAsia="Times New Roman"/>
        </w:rPr>
        <w:t>th Option 1 as well as Option 2.)</w:t>
      </w:r>
    </w:p>
    <w:p w:rsidR="00000000" w:rsidRDefault="008577EC">
      <w:pPr>
        <w:pStyle w:val="NormalWeb"/>
        <w:rPr>
          <w:rFonts w:eastAsia="Times New Roman"/>
        </w:rPr>
      </w:pPr>
      <w:r>
        <w:rPr>
          <w:rFonts w:eastAsia="Times New Roman"/>
          <w:i/>
        </w:rPr>
        <w:t>Commentary:</w:t>
      </w:r>
      <w:r>
        <w:rPr>
          <w:rFonts w:eastAsia="Times New Roman"/>
        </w:rPr>
        <w:t xml:space="preserve"> Option 1 provides a strict and traditional method of regulating the height of structures within a zoning district. </w:t>
      </w:r>
    </w:p>
    <w:p w:rsidR="00000000" w:rsidRDefault="008577EC">
      <w:pPr>
        <w:pStyle w:val="NormalWeb"/>
        <w:rPr>
          <w:rFonts w:eastAsia="Times New Roman"/>
        </w:rPr>
      </w:pPr>
      <w:r>
        <w:rPr>
          <w:rFonts w:eastAsia="Times New Roman"/>
        </w:rPr>
        <w:t>The purpose of Option 2 is to allow the applicant and the SPGA flexibility as to the height of</w:t>
      </w:r>
      <w:r>
        <w:rPr>
          <w:rFonts w:eastAsia="Times New Roman"/>
        </w:rPr>
        <w:t xml:space="preserve"> new or rehabilitated structures within the Overlay District. For example, if the height limitation in the underlying district is 35 feet, the provisions of this Section could allow the SPGA to increase the maximum height of structures up to a certain perc</w:t>
      </w:r>
      <w:r>
        <w:rPr>
          <w:rFonts w:eastAsia="Times New Roman"/>
        </w:rPr>
        <w:t>entage. This increase does not automatically trigger a significant increase in required parking spaces; see Section 6.0 and accompanying commentary. Note that the SPGA, and therefore the applicant seeking an increase in allowable height, is required to dem</w:t>
      </w:r>
      <w:r>
        <w:rPr>
          <w:rFonts w:eastAsia="Times New Roman"/>
        </w:rPr>
        <w:t xml:space="preserve">onstrate that the height increase is necessary to maintain neighborhood scale and character. </w:t>
      </w:r>
      <w:r>
        <w:rPr>
          <w:rFonts w:eastAsia="Times New Roman"/>
          <w:u w:val="single"/>
        </w:rPr>
        <w:t xml:space="preserve">The suggested range of maximum allowable heights within the Overlay District is between 35 feet and 50 feet. However, it is strongly recommended that the range be </w:t>
      </w:r>
      <w:r>
        <w:rPr>
          <w:rFonts w:eastAsia="Times New Roman"/>
          <w:u w:val="single"/>
        </w:rPr>
        <w:t>based on actual measurements from within the Town's current village(s).</w:t>
      </w:r>
      <w:r>
        <w:rPr>
          <w:rFonts w:eastAsia="Times New Roman"/>
        </w:rPr>
        <w:t xml:space="preserve"> </w:t>
      </w:r>
    </w:p>
    <w:p w:rsidR="00000000" w:rsidRDefault="008577EC">
      <w:pPr>
        <w:ind w:left="720" w:right="720"/>
      </w:pPr>
      <w:r>
        <w:rPr>
          <w:b/>
        </w:rPr>
        <w:t>05.2</w:t>
      </w:r>
      <w:r>
        <w:t xml:space="preserve"> </w:t>
      </w:r>
      <w:r>
        <w:rPr>
          <w:u w:val="single"/>
        </w:rPr>
        <w:t>Bulk</w:t>
      </w:r>
      <w:r>
        <w:t xml:space="preserve"> </w:t>
      </w:r>
    </w:p>
    <w:p w:rsidR="00000000" w:rsidRDefault="008577EC">
      <w:pPr>
        <w:pStyle w:val="NormalWeb"/>
        <w:ind w:left="720" w:right="720"/>
        <w:rPr>
          <w:rFonts w:eastAsia="Times New Roman"/>
        </w:rPr>
      </w:pPr>
      <w:r>
        <w:rPr>
          <w:rFonts w:eastAsia="Times New Roman"/>
        </w:rPr>
        <w:t xml:space="preserve">Option 1: </w:t>
      </w:r>
    </w:p>
    <w:p w:rsidR="00000000" w:rsidRDefault="008577EC">
      <w:pPr>
        <w:pStyle w:val="NormalWeb"/>
        <w:ind w:left="720" w:right="720"/>
        <w:rPr>
          <w:rFonts w:eastAsia="Times New Roman"/>
        </w:rPr>
      </w:pPr>
      <w:r>
        <w:rPr>
          <w:rFonts w:eastAsia="Times New Roman"/>
        </w:rPr>
        <w:t xml:space="preserve">The maximum (floor area ratio) (square footage) of any new or expanded existing structure shall be _____ . </w:t>
      </w:r>
    </w:p>
    <w:p w:rsidR="00000000" w:rsidRDefault="008577EC">
      <w:pPr>
        <w:pStyle w:val="NormalWeb"/>
        <w:ind w:left="720" w:right="720"/>
        <w:rPr>
          <w:rFonts w:eastAsia="Times New Roman"/>
        </w:rPr>
      </w:pPr>
      <w:r>
        <w:rPr>
          <w:rFonts w:eastAsia="Times New Roman"/>
        </w:rPr>
        <w:t xml:space="preserve">Option 2: </w:t>
      </w:r>
    </w:p>
    <w:p w:rsidR="00000000" w:rsidRDefault="008577EC">
      <w:pPr>
        <w:pStyle w:val="NormalWeb"/>
        <w:ind w:left="720" w:right="720"/>
        <w:rPr>
          <w:rFonts w:eastAsia="Times New Roman"/>
        </w:rPr>
      </w:pPr>
      <w:r>
        <w:rPr>
          <w:rFonts w:eastAsia="Times New Roman"/>
        </w:rPr>
        <w:t>To accomplish the purposes of this bylaw/o</w:t>
      </w:r>
      <w:r>
        <w:rPr>
          <w:rFonts w:eastAsia="Times New Roman"/>
        </w:rPr>
        <w:t>rdinance, the SPGA is authorized to allow an increase in (floor area ratio) or (square footage) of structures either in existence or as re-constructed up to ____% above that provided for in the underlying zoning district. This increase may be granted in co</w:t>
      </w:r>
      <w:r>
        <w:rPr>
          <w:rFonts w:eastAsia="Times New Roman"/>
        </w:rPr>
        <w:t>njunction with a reduction in required on-site parking spaces as provided for in Section 05.0, below. The SPGA shall allow the (floor area ratio) or (square footage) increase only upon a finding that the additional useable square footage is necessary to re</w:t>
      </w:r>
      <w:r>
        <w:rPr>
          <w:rFonts w:eastAsia="Times New Roman"/>
        </w:rPr>
        <w:t>flect the scale of adjacent structures, to maintain the area's character and/or to rehabilitate or develop a structure or parcel within the Overlay District that would otherwise unlikely be rehabilitated or developed. The SPGA must further find that the re</w:t>
      </w:r>
      <w:r>
        <w:rPr>
          <w:rFonts w:eastAsia="Times New Roman"/>
        </w:rPr>
        <w:t xml:space="preserve">laxation of said bulk standards will not interfere or negatively impact abutting properties, particularly property used or zoned for residential purposes. </w:t>
      </w:r>
    </w:p>
    <w:p w:rsidR="00000000" w:rsidRDefault="008577EC">
      <w:pPr>
        <w:pStyle w:val="NormalWeb"/>
        <w:ind w:left="720" w:right="720"/>
        <w:rPr>
          <w:rFonts w:eastAsia="Times New Roman"/>
        </w:rPr>
      </w:pPr>
      <w:r>
        <w:rPr>
          <w:rFonts w:eastAsia="Times New Roman"/>
        </w:rPr>
        <w:t xml:space="preserve">(AUTHOR'S NOTE: Determination of the allowable range of building size (bulk) requires completion of </w:t>
      </w:r>
      <w:r>
        <w:rPr>
          <w:rFonts w:eastAsia="Times New Roman"/>
        </w:rPr>
        <w:t>a general survey of the bulk of existing developments within the village. This recommendation applies to both Option 1 as well as Option 2.)</w:t>
      </w:r>
    </w:p>
    <w:p w:rsidR="00000000" w:rsidRDefault="008577EC">
      <w:pPr>
        <w:pStyle w:val="NormalWeb"/>
        <w:rPr>
          <w:rFonts w:eastAsia="Times New Roman"/>
        </w:rPr>
      </w:pPr>
      <w:r>
        <w:rPr>
          <w:rFonts w:eastAsia="Times New Roman"/>
          <w:i/>
        </w:rPr>
        <w:t>Commentary:</w:t>
      </w:r>
      <w:r>
        <w:rPr>
          <w:rFonts w:eastAsia="Times New Roman"/>
        </w:rPr>
        <w:t xml:space="preserve"> Option 1 provides a strict and traditional method of regulating the bulk of structures within a zoning </w:t>
      </w:r>
      <w:r>
        <w:rPr>
          <w:rFonts w:eastAsia="Times New Roman"/>
        </w:rPr>
        <w:t xml:space="preserve">district. </w:t>
      </w:r>
    </w:p>
    <w:p w:rsidR="00000000" w:rsidRDefault="008577EC">
      <w:pPr>
        <w:pStyle w:val="NormalWeb"/>
        <w:rPr>
          <w:rFonts w:eastAsia="Times New Roman"/>
        </w:rPr>
      </w:pPr>
      <w:r>
        <w:rPr>
          <w:rFonts w:eastAsia="Times New Roman"/>
        </w:rPr>
        <w:t>The purpose of Option 2 is to allow the applicant and the SPGA flexibility as to the bulk--size--of new or expanded structures. This Section allows the SPGA to grant a percentage increase in the bulk of a structure over the underlying zoning's r</w:t>
      </w:r>
      <w:r>
        <w:rPr>
          <w:rFonts w:eastAsia="Times New Roman"/>
        </w:rPr>
        <w:t xml:space="preserve">estriction on size. This expansion would, in many cases, require a relaxation of setback requirements, more fully discussed in Section 05.3, below. </w:t>
      </w:r>
    </w:p>
    <w:p w:rsidR="00000000" w:rsidRDefault="008577EC">
      <w:pPr>
        <w:pStyle w:val="NormalWeb"/>
        <w:rPr>
          <w:rFonts w:eastAsia="Times New Roman"/>
        </w:rPr>
      </w:pPr>
      <w:r>
        <w:rPr>
          <w:rFonts w:eastAsia="Times New Roman"/>
        </w:rPr>
        <w:t>Note that constraints on bulk expansion, unlike limitations on height expansion, is a function of available</w:t>
      </w:r>
      <w:r>
        <w:rPr>
          <w:rFonts w:eastAsia="Times New Roman"/>
        </w:rPr>
        <w:t xml:space="preserve"> land area and abutting structure design and layout. In other words, in many cases, a structure simply will not be able to expand in bulk due to existing structures on either side, in the front or rear of the building. </w:t>
      </w:r>
      <w:r>
        <w:rPr>
          <w:rFonts w:eastAsia="Times New Roman"/>
        </w:rPr>
        <w:lastRenderedPageBreak/>
        <w:t>Where such expansion is possible, how</w:t>
      </w:r>
      <w:r>
        <w:rPr>
          <w:rFonts w:eastAsia="Times New Roman"/>
        </w:rPr>
        <w:t xml:space="preserve">ever, the SPGA and the applicant must demonstrate that the physical expansion/extension is in keeping with the neighborhood's or area's overall character and scale. </w:t>
      </w:r>
    </w:p>
    <w:p w:rsidR="00000000" w:rsidRDefault="008577EC">
      <w:pPr>
        <w:pStyle w:val="NormalWeb"/>
        <w:rPr>
          <w:rFonts w:eastAsia="Times New Roman"/>
        </w:rPr>
      </w:pPr>
      <w:r>
        <w:rPr>
          <w:rFonts w:eastAsia="Times New Roman"/>
        </w:rPr>
        <w:t>The SPGA may also include as a factor for granting a special permit for bulk expansion iss</w:t>
      </w:r>
      <w:r>
        <w:rPr>
          <w:rFonts w:eastAsia="Times New Roman"/>
        </w:rPr>
        <w:t xml:space="preserve">ues relating to the structure's or parcel's economic viability without such an expansion. For example, after consideration of the factors noted above, the SPGA may grant a special permit for bulk expansion if it believes, based on information submitted to </w:t>
      </w:r>
      <w:r>
        <w:rPr>
          <w:rFonts w:eastAsia="Times New Roman"/>
        </w:rPr>
        <w:t xml:space="preserve">it by the applicant, that the parcel or structure is unlikely to be used or developed without a relaxation of bulk standards. </w:t>
      </w:r>
    </w:p>
    <w:p w:rsidR="00000000" w:rsidRDefault="008577EC">
      <w:pPr>
        <w:pStyle w:val="NormalWeb"/>
        <w:rPr>
          <w:rFonts w:eastAsia="Times New Roman"/>
        </w:rPr>
      </w:pPr>
      <w:r>
        <w:rPr>
          <w:rFonts w:eastAsia="Times New Roman"/>
        </w:rPr>
        <w:t xml:space="preserve">Finally, please note that this model does not provide suggested maximum bulk limitations for individual towns or villages. Bulk, </w:t>
      </w:r>
      <w:r>
        <w:rPr>
          <w:rFonts w:eastAsia="Times New Roman"/>
        </w:rPr>
        <w:t>unlike height and setback standards, is extremely site specific--building specific--and precise standards, even ranges, are difficult to develop Cape-wide. As recommended throughout this regulation, however, towns should physically measure the bulks of str</w:t>
      </w:r>
      <w:r>
        <w:rPr>
          <w:rFonts w:eastAsia="Times New Roman"/>
        </w:rPr>
        <w:t xml:space="preserve">uctures within their village districts to establish general ranges. Those ranges, if based on actual measurements, could then be included within the regulation. </w:t>
      </w:r>
    </w:p>
    <w:p w:rsidR="00000000" w:rsidRDefault="008577EC">
      <w:pPr>
        <w:ind w:left="720" w:right="720"/>
      </w:pPr>
      <w:r>
        <w:rPr>
          <w:b/>
        </w:rPr>
        <w:t>05.3</w:t>
      </w:r>
      <w:r>
        <w:t xml:space="preserve"> </w:t>
      </w:r>
      <w:r>
        <w:rPr>
          <w:u w:val="single"/>
        </w:rPr>
        <w:t>Setback</w:t>
      </w:r>
      <w:r>
        <w:t xml:space="preserve"> </w:t>
      </w:r>
    </w:p>
    <w:p w:rsidR="00000000" w:rsidRDefault="008577EC">
      <w:pPr>
        <w:pStyle w:val="NormalWeb"/>
        <w:ind w:left="720" w:right="720"/>
        <w:rPr>
          <w:rFonts w:eastAsia="Times New Roman"/>
        </w:rPr>
      </w:pPr>
      <w:r>
        <w:rPr>
          <w:rFonts w:eastAsia="Times New Roman"/>
        </w:rPr>
        <w:t xml:space="preserve">Option 1: </w:t>
      </w:r>
    </w:p>
    <w:p w:rsidR="00000000" w:rsidRDefault="008577EC">
      <w:pPr>
        <w:pStyle w:val="NormalWeb"/>
        <w:ind w:left="720" w:right="720"/>
        <w:rPr>
          <w:rFonts w:eastAsia="Times New Roman"/>
        </w:rPr>
      </w:pPr>
      <w:r>
        <w:rPr>
          <w:rFonts w:eastAsia="Times New Roman"/>
        </w:rPr>
        <w:t>The front yard setback of any new or expanded existing structure shal</w:t>
      </w:r>
      <w:r>
        <w:rPr>
          <w:rFonts w:eastAsia="Times New Roman"/>
        </w:rPr>
        <w:t xml:space="preserve">l be no more than _____ and no less than _____. The rear and side yard setbacks of any new or expanded existing structure shall be . </w:t>
      </w:r>
    </w:p>
    <w:p w:rsidR="00000000" w:rsidRDefault="008577EC">
      <w:pPr>
        <w:pStyle w:val="NormalWeb"/>
        <w:ind w:left="720" w:right="720"/>
        <w:rPr>
          <w:rFonts w:eastAsia="Times New Roman"/>
        </w:rPr>
      </w:pPr>
      <w:r>
        <w:rPr>
          <w:rFonts w:eastAsia="Times New Roman"/>
        </w:rPr>
        <w:t xml:space="preserve">Option 2: </w:t>
      </w:r>
    </w:p>
    <w:p w:rsidR="00000000" w:rsidRDefault="008577EC">
      <w:pPr>
        <w:pStyle w:val="NormalWeb"/>
        <w:ind w:left="720" w:right="720"/>
        <w:rPr>
          <w:rFonts w:eastAsia="Times New Roman"/>
        </w:rPr>
      </w:pPr>
      <w:r>
        <w:rPr>
          <w:rFonts w:eastAsia="Times New Roman"/>
        </w:rPr>
        <w:t>To accomplish the purposes of this bylaw/ordinance, the SPGA is authorized to allow a complete or partial reduc</w:t>
      </w:r>
      <w:r>
        <w:rPr>
          <w:rFonts w:eastAsia="Times New Roman"/>
        </w:rPr>
        <w:t>tion of front, side and rear setback standards for new or pre-existing structures. The SPGA shall allow the reduction of setback requirements only upon a finding that the setbacks as imposed by the underlying district would result, or have resulted, in con</w:t>
      </w:r>
      <w:r>
        <w:rPr>
          <w:rFonts w:eastAsia="Times New Roman"/>
        </w:rPr>
        <w:t>struction of structures that are not in keeping with the area's scale and character. The SPGA must further find that the relaxation of said standards will not interfere or negatively impact abutting properties, particularly property used or zoned for resid</w:t>
      </w:r>
      <w:r>
        <w:rPr>
          <w:rFonts w:eastAsia="Times New Roman"/>
        </w:rPr>
        <w:t xml:space="preserve">ential purposes. </w:t>
      </w:r>
    </w:p>
    <w:p w:rsidR="00000000" w:rsidRDefault="008577EC">
      <w:pPr>
        <w:pStyle w:val="NormalWeb"/>
        <w:ind w:left="720" w:right="720"/>
        <w:rPr>
          <w:rFonts w:eastAsia="Times New Roman"/>
        </w:rPr>
      </w:pPr>
      <w:r>
        <w:rPr>
          <w:rFonts w:eastAsia="Times New Roman"/>
        </w:rPr>
        <w:t>(AUTHOR'S NOTE: Determination of the allowable range of setbacks requires completion of a general survey of the location and setbacks of existing developments within the village. This recommendation applies to both Option 1 as well as Opt</w:t>
      </w:r>
      <w:r>
        <w:rPr>
          <w:rFonts w:eastAsia="Times New Roman"/>
        </w:rPr>
        <w:t>ion 2.)</w:t>
      </w:r>
    </w:p>
    <w:p w:rsidR="00000000" w:rsidRDefault="008577EC">
      <w:pPr>
        <w:pStyle w:val="NormalWeb"/>
        <w:rPr>
          <w:rFonts w:eastAsia="Times New Roman"/>
        </w:rPr>
      </w:pPr>
      <w:r>
        <w:rPr>
          <w:rFonts w:eastAsia="Times New Roman"/>
          <w:i/>
        </w:rPr>
        <w:t>Commentary:</w:t>
      </w:r>
      <w:r>
        <w:rPr>
          <w:rFonts w:eastAsia="Times New Roman"/>
        </w:rPr>
        <w:t xml:space="preserve"> Option 1 provides a method of regulating the setback of structures within a zoning district, but it provides for a range of minimum and maximum setbacks based on the characteristic setbacks in the neighborhood. </w:t>
      </w:r>
    </w:p>
    <w:p w:rsidR="00000000" w:rsidRDefault="008577EC">
      <w:pPr>
        <w:pStyle w:val="NormalWeb"/>
        <w:rPr>
          <w:rFonts w:eastAsia="Times New Roman"/>
        </w:rPr>
      </w:pPr>
      <w:r>
        <w:rPr>
          <w:rFonts w:eastAsia="Times New Roman"/>
        </w:rPr>
        <w:t xml:space="preserve">Option 2 is intended to </w:t>
      </w:r>
      <w:r>
        <w:rPr>
          <w:rFonts w:eastAsia="Times New Roman"/>
        </w:rPr>
        <w:t>provide maximum flexibility to the applicant and the SPGA regarding the imposition of front, side and/or rear setback requirements so as to encourage consistency with the area's overall scale and character. As with Sections 05.1 and 05.2, above, the SPGA i</w:t>
      </w:r>
      <w:r>
        <w:rPr>
          <w:rFonts w:eastAsia="Times New Roman"/>
        </w:rPr>
        <w:t xml:space="preserve">s required to ensure that the use of these flexible provisions will not negatively impact abutting properties. For example, while the relaxation of rear yard setback requirements from 10 feet to 5 feet may be in keeping with the development pattern of the </w:t>
      </w:r>
      <w:r>
        <w:rPr>
          <w:rFonts w:eastAsia="Times New Roman"/>
        </w:rPr>
        <w:t xml:space="preserve">area, the SPGA should not grant the 5-foot reduction if the abutting property is used for residential purposes and would be negatively affected by the setback reduction. </w:t>
      </w:r>
    </w:p>
    <w:p w:rsidR="00000000" w:rsidRDefault="008577EC">
      <w:pPr>
        <w:pStyle w:val="NormalWeb"/>
        <w:rPr>
          <w:rFonts w:eastAsia="Times New Roman"/>
        </w:rPr>
      </w:pPr>
      <w:r>
        <w:rPr>
          <w:rFonts w:eastAsia="Times New Roman"/>
        </w:rPr>
        <w:t xml:space="preserve">The range of </w:t>
      </w:r>
      <w:r>
        <w:rPr>
          <w:rFonts w:eastAsia="Times New Roman"/>
          <w:u w:val="single"/>
        </w:rPr>
        <w:t>suggested front yard setbacks range is 0 to 25 feet</w:t>
      </w:r>
      <w:r>
        <w:rPr>
          <w:rFonts w:eastAsia="Times New Roman"/>
        </w:rPr>
        <w:t xml:space="preserve">. The range of </w:t>
      </w:r>
      <w:r>
        <w:rPr>
          <w:rFonts w:eastAsia="Times New Roman"/>
          <w:u w:val="single"/>
        </w:rPr>
        <w:t>sugges</w:t>
      </w:r>
      <w:r>
        <w:rPr>
          <w:rFonts w:eastAsia="Times New Roman"/>
          <w:u w:val="single"/>
        </w:rPr>
        <w:t xml:space="preserve">ted side yard setbacks is 0 (for common wall construction) to 25 feet and 0 to 25 feet for rear yard setbacks. However, it is </w:t>
      </w:r>
      <w:r>
        <w:rPr>
          <w:rFonts w:eastAsia="Times New Roman"/>
          <w:u w:val="single"/>
        </w:rPr>
        <w:lastRenderedPageBreak/>
        <w:t>strongly recommended that the range be based on actual measurements from within the Town's current village(s).</w:t>
      </w:r>
      <w:r>
        <w:rPr>
          <w:rFonts w:eastAsia="Times New Roman"/>
        </w:rPr>
        <w:t xml:space="preserve"> </w:t>
      </w:r>
    </w:p>
    <w:p w:rsidR="00000000" w:rsidRDefault="008577EC">
      <w:pPr>
        <w:pStyle w:val="NormalWeb"/>
        <w:rPr>
          <w:rFonts w:eastAsia="Times New Roman"/>
        </w:rPr>
      </w:pPr>
      <w:r>
        <w:rPr>
          <w:rFonts w:eastAsia="Times New Roman"/>
          <w:b/>
        </w:rPr>
        <w:t>06.0 Parking Requi</w:t>
      </w:r>
      <w:r>
        <w:rPr>
          <w:rFonts w:eastAsia="Times New Roman"/>
          <w:b/>
        </w:rPr>
        <w:t>rements within the Village Development Overlay District</w:t>
      </w:r>
      <w:r>
        <w:rPr>
          <w:rFonts w:eastAsia="Times New Roman"/>
        </w:rPr>
        <w:t xml:space="preserve"> </w:t>
      </w:r>
    </w:p>
    <w:p w:rsidR="00000000" w:rsidRDefault="008577EC">
      <w:pPr>
        <w:ind w:left="720" w:right="720"/>
      </w:pPr>
      <w:r>
        <w:t>Recognizing that parking requirements in the underlying zoning district may hamper development of village-style land use and development, the SPGA is authorized to reduce the parking requirements spe</w:t>
      </w:r>
      <w:r>
        <w:t>cified for the use/structure proposed up to %. In determining the appropriate reduction, if any, the SPGA may give consideration to the hours of usage of the proposed use/structure, hours of usage of other uses/structures within the Village Development Ove</w:t>
      </w:r>
      <w:r>
        <w:t>rlay District, amount of "shared" parking with other uses, the opinions of merchants, residents and municipal officials as to the adequacy or inadequacy of parking spaces within the specific area of the proposed use/structure, as well as other relevant inf</w:t>
      </w:r>
      <w:r>
        <w:t xml:space="preserve">ormation to assist the SPGA in determining the need for additional parking for motor vehicles. </w:t>
      </w:r>
    </w:p>
    <w:p w:rsidR="00000000" w:rsidRDefault="008577EC">
      <w:pPr>
        <w:pStyle w:val="NormalWeb"/>
        <w:ind w:left="720" w:right="720"/>
        <w:rPr>
          <w:rFonts w:eastAsia="Times New Roman"/>
        </w:rPr>
      </w:pPr>
      <w:r>
        <w:rPr>
          <w:rFonts w:eastAsia="Times New Roman"/>
        </w:rPr>
        <w:t xml:space="preserve">(AUTHOR'S NOTE: Determination of the allowable range of parking space reduction requires completion of a general survey of the number of parking spaces within, </w:t>
      </w:r>
      <w:r>
        <w:rPr>
          <w:rFonts w:eastAsia="Times New Roman"/>
        </w:rPr>
        <w:t>or within reasonable walking distance, of the village.)</w:t>
      </w:r>
    </w:p>
    <w:p w:rsidR="00000000" w:rsidRDefault="008577EC">
      <w:pPr>
        <w:pStyle w:val="NormalWeb"/>
        <w:rPr>
          <w:rFonts w:eastAsia="Times New Roman"/>
        </w:rPr>
      </w:pPr>
      <w:r>
        <w:rPr>
          <w:rFonts w:eastAsia="Times New Roman"/>
          <w:i/>
        </w:rPr>
        <w:t>Commentary:</w:t>
      </w:r>
      <w:r>
        <w:rPr>
          <w:rFonts w:eastAsia="Times New Roman"/>
        </w:rPr>
        <w:t xml:space="preserve"> This section allows the SPGA to reduce the parking requirements in the underlying zoning district up to a certain percentage. The </w:t>
      </w:r>
      <w:r>
        <w:rPr>
          <w:rFonts w:eastAsia="Times New Roman"/>
          <w:u w:val="single"/>
        </w:rPr>
        <w:t>suggested reduction range is between 10 and 50 percent</w:t>
      </w:r>
      <w:r>
        <w:rPr>
          <w:rFonts w:eastAsia="Times New Roman"/>
        </w:rPr>
        <w:t xml:space="preserve">. </w:t>
      </w:r>
    </w:p>
    <w:p w:rsidR="00000000" w:rsidRDefault="008577EC">
      <w:pPr>
        <w:pStyle w:val="NormalWeb"/>
        <w:rPr>
          <w:rFonts w:eastAsia="Times New Roman"/>
        </w:rPr>
      </w:pPr>
      <w:r>
        <w:rPr>
          <w:rFonts w:eastAsia="Times New Roman"/>
        </w:rPr>
        <w:t>T</w:t>
      </w:r>
      <w:r>
        <w:rPr>
          <w:rFonts w:eastAsia="Times New Roman"/>
        </w:rPr>
        <w:t xml:space="preserve">his section is considered critical to allowing pre-existing and new structures to expand and be built within the Overlay District without being constrained by strict off-street parking requirements. </w:t>
      </w:r>
    </w:p>
    <w:p w:rsidR="00000000" w:rsidRDefault="008577EC">
      <w:pPr>
        <w:pStyle w:val="NormalWeb"/>
        <w:rPr>
          <w:rFonts w:eastAsia="Times New Roman"/>
        </w:rPr>
      </w:pPr>
      <w:r>
        <w:rPr>
          <w:rFonts w:eastAsia="Times New Roman"/>
        </w:rPr>
        <w:t>A note of caution, however. Relaxation of underlying sta</w:t>
      </w:r>
      <w:r>
        <w:rPr>
          <w:rFonts w:eastAsia="Times New Roman"/>
        </w:rPr>
        <w:t xml:space="preserve">ndards, regardless of the standard, entails some risk that the SPGA will be held to arguments that it has established a "precedent" when it relaxes the parking requirements for a particular structure. Note, however, that each application is to be reviewed </w:t>
      </w:r>
      <w:r>
        <w:rPr>
          <w:rFonts w:eastAsia="Times New Roman"/>
        </w:rPr>
        <w:t>as a new and unique application. Precedent is only relevant if the SPGA acts arbitrarily in subsequent decisions. For example, the SPGA may grant a parking reduction of 40 percent to applicant "A" and then, based on legitimate and substantive reasons, deny</w:t>
      </w:r>
      <w:r>
        <w:rPr>
          <w:rFonts w:eastAsia="Times New Roman"/>
        </w:rPr>
        <w:t xml:space="preserve"> a parking reduction to applicant "B." Note the importance of the legitimate and substantive reasons for the denial to applicant "B." Based on this scenario, the SPGA is not and should not be considered bound in future decisions by its past decision with a</w:t>
      </w:r>
      <w:r>
        <w:rPr>
          <w:rFonts w:eastAsia="Times New Roman"/>
        </w:rPr>
        <w:t xml:space="preserve">pplicant "A." </w:t>
      </w:r>
    </w:p>
    <w:p w:rsidR="00000000" w:rsidRDefault="008577EC">
      <w:pPr>
        <w:pStyle w:val="NormalWeb"/>
        <w:rPr>
          <w:rFonts w:eastAsia="Times New Roman"/>
        </w:rPr>
      </w:pPr>
      <w:r>
        <w:rPr>
          <w:rFonts w:eastAsia="Times New Roman"/>
        </w:rPr>
        <w:t>Finally, it is recognized that in some instances, new construction may trigger parking requirements that the applicant can not meet due to lack of available off-street land. In these situations, and where the town has determined that there i</w:t>
      </w:r>
      <w:r>
        <w:rPr>
          <w:rFonts w:eastAsia="Times New Roman"/>
        </w:rPr>
        <w:t xml:space="preserve">s a general shortage of off-street parking within the Village, an option exists for towns to require payment to an "off-street parking fund." The fund would be established by Town Meeting/Town Council as a separate and distinct fund for the development of </w:t>
      </w:r>
      <w:r>
        <w:rPr>
          <w:rFonts w:eastAsia="Times New Roman"/>
        </w:rPr>
        <w:t>public, off-street parking within the Town and/or designated village. To establish this requirement, town planners should determine the land and construction costs of an individual parking space within designated villages. Once determined, an "off-street p</w:t>
      </w:r>
      <w:r>
        <w:rPr>
          <w:rFonts w:eastAsia="Times New Roman"/>
        </w:rPr>
        <w:t>arking fund" bylaw/ordinance could be drafted linked to the Village-Style Development Bylaw/Ordinance. This linkage would require the provision of off-street parking, or if not possible due to land constraints, the set-aside of equivalent funds in a specia</w:t>
      </w:r>
      <w:r>
        <w:rPr>
          <w:rFonts w:eastAsia="Times New Roman"/>
        </w:rPr>
        <w:t xml:space="preserve">l fund intended to create public, off-street parking. Town Meeting/Town Council should then be petitioned to adopt the parking fund regulation. </w:t>
      </w:r>
    </w:p>
    <w:p w:rsidR="00000000" w:rsidRDefault="008577EC">
      <w:pPr>
        <w:pStyle w:val="NormalWeb"/>
        <w:rPr>
          <w:rFonts w:eastAsia="Times New Roman"/>
        </w:rPr>
      </w:pPr>
      <w:r>
        <w:rPr>
          <w:rFonts w:eastAsia="Times New Roman"/>
          <w:b/>
        </w:rPr>
        <w:t>07.0 Allowable Uses:</w:t>
      </w:r>
      <w:r>
        <w:rPr>
          <w:rFonts w:eastAsia="Times New Roman"/>
        </w:rPr>
        <w:t xml:space="preserve"> Recognizing that village-style development entails a mixture of uses, the SPGA is authoriz</w:t>
      </w:r>
      <w:r>
        <w:rPr>
          <w:rFonts w:eastAsia="Times New Roman"/>
        </w:rPr>
        <w:t xml:space="preserve">ed to allow a mix of residential and non-residential land uses within the Village Development Overlay District. </w:t>
      </w:r>
    </w:p>
    <w:p w:rsidR="00000000" w:rsidRDefault="008577EC">
      <w:pPr>
        <w:ind w:left="720" w:right="720"/>
      </w:pPr>
      <w:r>
        <w:rPr>
          <w:b/>
        </w:rPr>
        <w:t>07.1</w:t>
      </w:r>
      <w:r>
        <w:t xml:space="preserve"> </w:t>
      </w:r>
      <w:r>
        <w:rPr>
          <w:u w:val="single"/>
        </w:rPr>
        <w:t>Residential uses</w:t>
      </w:r>
      <w:r>
        <w:t xml:space="preserve">. The SPGA may grant approval for (single family, two-family, multi-family) residential uses at a density of one dwelling </w:t>
      </w:r>
      <w:r>
        <w:t xml:space="preserve">unit per _____ square feet within the Overlay District or a maximum of ___ units on the same lot. If residential uses </w:t>
      </w:r>
      <w:r>
        <w:lastRenderedPageBreak/>
        <w:t>are currently allowed in the underlying zoning district(s), the provisions of this Section shall apply to said residential uses only if th</w:t>
      </w:r>
      <w:r>
        <w:t>is Section is less restrictive than the underlying district.</w:t>
      </w:r>
    </w:p>
    <w:p w:rsidR="00000000" w:rsidRDefault="008577EC">
      <w:pPr>
        <w:pStyle w:val="NormalWeb"/>
        <w:rPr>
          <w:rFonts w:eastAsia="Times New Roman"/>
        </w:rPr>
      </w:pPr>
      <w:r>
        <w:rPr>
          <w:rFonts w:eastAsia="Times New Roman"/>
          <w:i/>
        </w:rPr>
        <w:t>Commentary:</w:t>
      </w:r>
      <w:r>
        <w:rPr>
          <w:rFonts w:eastAsia="Times New Roman"/>
        </w:rPr>
        <w:t xml:space="preserve"> This Section allows the development of a variety of residential housing units within the Overlay District at a density and type to be established by the town. Residential development </w:t>
      </w:r>
      <w:r>
        <w:rPr>
          <w:rFonts w:eastAsia="Times New Roman"/>
        </w:rPr>
        <w:t>within the District encourages an important link between commercial activities and appropriate scale and design of structures. More importantly, residential development within the District mirrors historic development patterns: residential structures inter</w:t>
      </w:r>
      <w:r>
        <w:rPr>
          <w:rFonts w:eastAsia="Times New Roman"/>
        </w:rPr>
        <w:t xml:space="preserve">spersed with commercial uses and vice-versa: commercial structures with residential units typically secondary to the primary commercial use. </w:t>
      </w:r>
    </w:p>
    <w:p w:rsidR="00000000" w:rsidRDefault="008577EC">
      <w:pPr>
        <w:ind w:left="720" w:right="720"/>
      </w:pPr>
      <w:r>
        <w:rPr>
          <w:b/>
        </w:rPr>
        <w:t>07.2</w:t>
      </w:r>
      <w:r>
        <w:t xml:space="preserve"> </w:t>
      </w:r>
      <w:r>
        <w:rPr>
          <w:u w:val="single"/>
        </w:rPr>
        <w:t>Non-residential uses</w:t>
      </w:r>
      <w:r>
        <w:t>. The SPGA may grant approval for non-residential uses within the Overlay District consis</w:t>
      </w:r>
      <w:r>
        <w:t xml:space="preserve">tent with the provisions of the underlying zoning district(s) and with the following additional uses: </w:t>
      </w:r>
    </w:p>
    <w:p w:rsidR="00000000" w:rsidRDefault="008577EC">
      <w:pPr>
        <w:ind w:left="1440" w:right="1440"/>
      </w:pPr>
      <w:r>
        <w:t xml:space="preserve">a) retail sales; </w:t>
      </w:r>
    </w:p>
    <w:p w:rsidR="00000000" w:rsidRDefault="008577EC">
      <w:pPr>
        <w:pStyle w:val="NormalWeb"/>
        <w:ind w:left="1440" w:right="1440"/>
        <w:rPr>
          <w:rFonts w:eastAsia="Times New Roman"/>
        </w:rPr>
      </w:pPr>
      <w:r>
        <w:rPr>
          <w:rFonts w:eastAsia="Times New Roman"/>
        </w:rPr>
        <w:t xml:space="preserve">b) business or professional offices </w:t>
      </w:r>
    </w:p>
    <w:p w:rsidR="00000000" w:rsidRDefault="008577EC">
      <w:pPr>
        <w:pStyle w:val="NormalWeb"/>
        <w:ind w:left="1440" w:right="1440"/>
        <w:rPr>
          <w:rFonts w:eastAsia="Times New Roman"/>
        </w:rPr>
      </w:pPr>
      <w:r>
        <w:rPr>
          <w:rFonts w:eastAsia="Times New Roman"/>
        </w:rPr>
        <w:t xml:space="preserve">c) banks and other financial institutions </w:t>
      </w:r>
    </w:p>
    <w:p w:rsidR="00000000" w:rsidRDefault="008577EC">
      <w:pPr>
        <w:pStyle w:val="NormalWeb"/>
        <w:ind w:left="1440" w:right="1440"/>
        <w:rPr>
          <w:rFonts w:eastAsia="Times New Roman"/>
        </w:rPr>
      </w:pPr>
      <w:r>
        <w:rPr>
          <w:rFonts w:eastAsia="Times New Roman"/>
        </w:rPr>
        <w:t>d) restaurants or other places serving food, but not in</w:t>
      </w:r>
      <w:r>
        <w:rPr>
          <w:rFonts w:eastAsia="Times New Roman"/>
        </w:rPr>
        <w:t xml:space="preserve">cluding fast food restaurants </w:t>
      </w:r>
    </w:p>
    <w:p w:rsidR="00000000" w:rsidRDefault="008577EC">
      <w:pPr>
        <w:pStyle w:val="NormalWeb"/>
        <w:ind w:left="1440" w:right="1440"/>
        <w:rPr>
          <w:rFonts w:eastAsia="Times New Roman"/>
        </w:rPr>
      </w:pPr>
      <w:r>
        <w:rPr>
          <w:rFonts w:eastAsia="Times New Roman"/>
        </w:rPr>
        <w:t>(AUTHOR'S NOTE: The above noted list are examples and for illustration only).</w:t>
      </w:r>
    </w:p>
    <w:p w:rsidR="00000000" w:rsidRDefault="008577EC">
      <w:pPr>
        <w:pStyle w:val="NormalWeb"/>
        <w:rPr>
          <w:rFonts w:eastAsia="Times New Roman"/>
        </w:rPr>
      </w:pPr>
      <w:r>
        <w:rPr>
          <w:rFonts w:eastAsia="Times New Roman"/>
          <w:i/>
        </w:rPr>
        <w:t>Commentary:</w:t>
      </w:r>
      <w:r>
        <w:rPr>
          <w:rFonts w:eastAsia="Times New Roman"/>
        </w:rPr>
        <w:t xml:space="preserve"> This Section allows towns to expand the list of non-residential uses allowed by special permit within the Overlay District. It is recom</w:t>
      </w:r>
      <w:r>
        <w:rPr>
          <w:rFonts w:eastAsia="Times New Roman"/>
        </w:rPr>
        <w:t>mended that these uses include commercial, as opposed to industrial, uses that will assist the town to strengthen its village centers either by attracting new commercial activities or encouraging the expansion of existing activities that have been successf</w:t>
      </w:r>
      <w:r>
        <w:rPr>
          <w:rFonts w:eastAsia="Times New Roman"/>
        </w:rPr>
        <w:t>ul in restoring or otherwise aiding the development of the village center. It is recommended that the list of non-residential activities allowed by special permit be developed with recognition that Section 07.1, above, encourages the establishment of resid</w:t>
      </w:r>
      <w:r>
        <w:rPr>
          <w:rFonts w:eastAsia="Times New Roman"/>
        </w:rPr>
        <w:t>ential uses within the Overlay District. In other words, the list of non-residential uses should be compatible with the goal of encouraging residential uses within the Overlay District and generally compatible with the form of buildings that are encouraged</w:t>
      </w:r>
      <w:r>
        <w:rPr>
          <w:rFonts w:eastAsia="Times New Roman"/>
        </w:rPr>
        <w:t xml:space="preserve"> in the District. </w:t>
      </w:r>
    </w:p>
    <w:p w:rsidR="00000000" w:rsidRDefault="008577EC">
      <w:pPr>
        <w:pStyle w:val="NormalWeb"/>
        <w:rPr>
          <w:rFonts w:eastAsia="Times New Roman"/>
        </w:rPr>
      </w:pPr>
      <w:r>
        <w:rPr>
          <w:rFonts w:eastAsia="Times New Roman"/>
          <w:b/>
        </w:rPr>
        <w:t>08.0 Special Permit Standards and Criteria:</w:t>
      </w:r>
      <w:r>
        <w:rPr>
          <w:rFonts w:eastAsia="Times New Roman"/>
        </w:rPr>
        <w:t xml:space="preserve"> In addition to the specific criteria regarding the grant of a special permit contained within this regulation, the SPGA shall issue a special permit only after consideration of the following: </w:t>
      </w:r>
    </w:p>
    <w:p w:rsidR="00000000" w:rsidRDefault="008577EC">
      <w:pPr>
        <w:ind w:left="720" w:right="720"/>
      </w:pPr>
      <w:r>
        <w:t xml:space="preserve">(a) adequacy of the site in terms of the size for the proposed use(s); </w:t>
      </w:r>
    </w:p>
    <w:p w:rsidR="00000000" w:rsidRDefault="008577EC">
      <w:pPr>
        <w:pStyle w:val="NormalWeb"/>
        <w:ind w:left="720" w:right="720"/>
        <w:rPr>
          <w:rFonts w:eastAsia="Times New Roman"/>
        </w:rPr>
      </w:pPr>
      <w:r>
        <w:rPr>
          <w:rFonts w:eastAsia="Times New Roman"/>
        </w:rPr>
        <w:t xml:space="preserve">(b) suitability of the site for the proposed use(s); </w:t>
      </w:r>
    </w:p>
    <w:p w:rsidR="00000000" w:rsidRDefault="008577EC">
      <w:pPr>
        <w:pStyle w:val="NormalWeb"/>
        <w:ind w:left="720" w:right="720"/>
        <w:rPr>
          <w:rFonts w:eastAsia="Times New Roman"/>
        </w:rPr>
      </w:pPr>
      <w:r>
        <w:rPr>
          <w:rFonts w:eastAsia="Times New Roman"/>
        </w:rPr>
        <w:t xml:space="preserve">(c) impact on traffic and pedestrian flow and safety; </w:t>
      </w:r>
    </w:p>
    <w:p w:rsidR="00000000" w:rsidRDefault="008577EC">
      <w:pPr>
        <w:pStyle w:val="NormalWeb"/>
        <w:ind w:left="720" w:right="720"/>
        <w:rPr>
          <w:rFonts w:eastAsia="Times New Roman"/>
        </w:rPr>
      </w:pPr>
      <w:r>
        <w:rPr>
          <w:rFonts w:eastAsia="Times New Roman"/>
        </w:rPr>
        <w:t>(d) impact on the neighborhood visual character, including views and vistas</w:t>
      </w:r>
      <w:r>
        <w:rPr>
          <w:rFonts w:eastAsia="Times New Roman"/>
        </w:rPr>
        <w:t xml:space="preserve">; </w:t>
      </w:r>
    </w:p>
    <w:p w:rsidR="00000000" w:rsidRDefault="008577EC">
      <w:pPr>
        <w:pStyle w:val="NormalWeb"/>
        <w:ind w:left="720" w:right="720"/>
        <w:rPr>
          <w:rFonts w:eastAsia="Times New Roman"/>
        </w:rPr>
      </w:pPr>
      <w:r>
        <w:rPr>
          <w:rFonts w:eastAsia="Times New Roman"/>
        </w:rPr>
        <w:t xml:space="preserve">(e) adequacy of utilities, including sewage disposal, water supply and stormwater drainage; </w:t>
      </w:r>
    </w:p>
    <w:p w:rsidR="00000000" w:rsidRDefault="008577EC">
      <w:pPr>
        <w:pStyle w:val="NormalWeb"/>
        <w:ind w:left="720" w:right="720"/>
        <w:rPr>
          <w:rFonts w:eastAsia="Times New Roman"/>
        </w:rPr>
      </w:pPr>
      <w:r>
        <w:rPr>
          <w:rFonts w:eastAsia="Times New Roman"/>
        </w:rPr>
        <w:lastRenderedPageBreak/>
        <w:t>(f) degree to which the proposed project complies with the goals of the Town Comprehensive Plan and the provisions of this bylaw/ordinance.</w:t>
      </w:r>
    </w:p>
    <w:p w:rsidR="00000000" w:rsidRDefault="008577EC">
      <w:pPr>
        <w:pStyle w:val="NormalWeb"/>
        <w:rPr>
          <w:rFonts w:eastAsia="Times New Roman"/>
        </w:rPr>
      </w:pPr>
      <w:r>
        <w:rPr>
          <w:rFonts w:eastAsia="Times New Roman"/>
          <w:i/>
        </w:rPr>
        <w:t>Commentary:</w:t>
      </w:r>
      <w:r>
        <w:rPr>
          <w:rFonts w:eastAsia="Times New Roman"/>
        </w:rPr>
        <w:t xml:space="preserve"> This Sec</w:t>
      </w:r>
      <w:r>
        <w:rPr>
          <w:rFonts w:eastAsia="Times New Roman"/>
        </w:rPr>
        <w:t>tion presents several criteria for the SPGA to consider in the grant or denial of a special permit. These criteria are in addition to those set forth throughout the regulation. As noted previously, towns with strong special permit language may wish to subs</w:t>
      </w:r>
      <w:r>
        <w:rPr>
          <w:rFonts w:eastAsia="Times New Roman"/>
        </w:rPr>
        <w:t xml:space="preserve">titute their current language for that noted above, or simply reference their current language in place of Section 08.0, above. </w:t>
      </w:r>
    </w:p>
    <w:p w:rsidR="00000000" w:rsidRDefault="008577EC">
      <w:pPr>
        <w:pStyle w:val="NormalWeb"/>
        <w:rPr>
          <w:rFonts w:eastAsia="Times New Roman"/>
        </w:rPr>
      </w:pPr>
      <w:r>
        <w:rPr>
          <w:rFonts w:eastAsia="Times New Roman"/>
          <w:b/>
        </w:rPr>
        <w:t>09.0 Review by Special Permit Granting Authority (SPGA):</w:t>
      </w:r>
      <w:r>
        <w:rPr>
          <w:rFonts w:eastAsia="Times New Roman"/>
        </w:rPr>
        <w:t xml:space="preserve"> The Planning Board shall be designated as the SPGA under this bylaw/or</w:t>
      </w:r>
      <w:r>
        <w:rPr>
          <w:rFonts w:eastAsia="Times New Roman"/>
        </w:rPr>
        <w:t xml:space="preserve">dinance. In reviewing a proposed development under this bylaw, the SPGA shall apply the criteria for special permits noted throughout this regulation, in addition to other relevant special permit criteria provided for in the zoning bylaw/ordinance. </w:t>
      </w:r>
    </w:p>
    <w:p w:rsidR="00000000" w:rsidRDefault="008577EC">
      <w:pPr>
        <w:pStyle w:val="NormalWeb"/>
        <w:rPr>
          <w:rFonts w:eastAsia="Times New Roman"/>
        </w:rPr>
      </w:pPr>
      <w:r>
        <w:rPr>
          <w:rFonts w:eastAsia="Times New Roman"/>
          <w:i/>
        </w:rPr>
        <w:t>Commen</w:t>
      </w:r>
      <w:r>
        <w:rPr>
          <w:rFonts w:eastAsia="Times New Roman"/>
          <w:i/>
        </w:rPr>
        <w:t>tary:</w:t>
      </w:r>
      <w:r>
        <w:rPr>
          <w:rFonts w:eastAsia="Times New Roman"/>
        </w:rPr>
        <w:t xml:space="preserve"> This Section establishes the planning board as the special permit granting authority under this regulation and connects the criteria for issuance of a special permit in this regulation with existing criteria within the zoning bylaw/ordinance. </w:t>
      </w:r>
    </w:p>
    <w:p w:rsidR="00000000" w:rsidRDefault="008577EC">
      <w:pPr>
        <w:pStyle w:val="NormalWeb"/>
        <w:rPr>
          <w:rFonts w:eastAsia="Times New Roman"/>
        </w:rPr>
      </w:pPr>
      <w:r>
        <w:rPr>
          <w:rFonts w:eastAsia="Times New Roman"/>
          <w:b/>
        </w:rPr>
        <w:t>10.0 S</w:t>
      </w:r>
      <w:r>
        <w:rPr>
          <w:rFonts w:eastAsia="Times New Roman"/>
          <w:b/>
        </w:rPr>
        <w:t>everability:</w:t>
      </w:r>
      <w:r>
        <w:rPr>
          <w:rFonts w:eastAsia="Times New Roman"/>
        </w:rPr>
        <w:t xml:space="preserve"> </w:t>
      </w:r>
    </w:p>
    <w:p w:rsidR="00000000" w:rsidRDefault="008577EC">
      <w:pPr>
        <w:ind w:left="720" w:right="720"/>
      </w:pPr>
      <w:r>
        <w:t xml:space="preserve">0.10.1 If any provision of this bylaw is held invalid by a court of competent jurisdiction, the remainder of the bylaw shall not be affected thereby. The invalidity of any section or sections or parts of any section or sections of this bylaw </w:t>
      </w:r>
      <w:r>
        <w:t>shall not affect the validity of the remainder of the [town]'s zoning bylaw.</w:t>
      </w:r>
    </w:p>
    <w:p w:rsidR="00000000" w:rsidRDefault="008577EC">
      <w:pPr>
        <w:pStyle w:val="NormalWeb"/>
        <w:rPr>
          <w:rFonts w:eastAsia="Times New Roman"/>
        </w:rPr>
      </w:pPr>
      <w:r>
        <w:rPr>
          <w:rFonts w:eastAsia="Times New Roman"/>
          <w:i/>
        </w:rPr>
        <w:t>Commentary:</w:t>
      </w:r>
      <w:r>
        <w:rPr>
          <w:rFonts w:eastAsia="Times New Roman"/>
        </w:rPr>
        <w:t xml:space="preserve"> This Section is a generic severability clause. Severability clauses are intended to allow a court to strike or delete portions of a regulation that it determines to vi</w:t>
      </w:r>
      <w:r>
        <w:rPr>
          <w:rFonts w:eastAsia="Times New Roman"/>
        </w:rPr>
        <w:t xml:space="preserve">olate state or federal law. In addition, the severability clause provides limited insurance that a court will not strike down the entire bylaw should it find one or two offending sections. </w:t>
      </w:r>
    </w:p>
    <w:p w:rsidR="00000000" w:rsidRDefault="008577EC">
      <w:pPr>
        <w:spacing w:before="0" w:beforeAutospacing="0" w:after="0" w:afterAutospacing="0"/>
      </w:pPr>
      <w:r>
        <w:pict>
          <v:rect id="_x0000_i1025" style="width:250pt;height:1pt" o:hrpct="0" o:hralign="center" o:hrstd="t" o:hr="t" fillcolor="#aaa" stroked="f"/>
        </w:pict>
      </w:r>
    </w:p>
    <w:p w:rsidR="00000000" w:rsidRDefault="008577EC">
      <w:pPr>
        <w:spacing w:before="0" w:beforeAutospacing="0" w:after="0" w:afterAutospacing="0"/>
        <w:jc w:val="center"/>
      </w:pPr>
      <w:r>
        <w:t>Go to the Cape Cod Commission's</w:t>
      </w:r>
      <w:r>
        <w:br/>
      </w:r>
      <w:hyperlink r:id="rId7" w:history="1">
        <w:r>
          <w:rPr>
            <w:rStyle w:val="Hyperlink"/>
            <w:b/>
          </w:rPr>
          <w:t>Model B</w:t>
        </w:r>
        <w:r>
          <w:rPr>
            <w:rStyle w:val="Hyperlink"/>
            <w:b/>
          </w:rPr>
          <w:t>ylaws and Regulations</w:t>
        </w:r>
      </w:hyperlink>
      <w:r>
        <w:t xml:space="preserve"> Page</w:t>
      </w:r>
    </w:p>
    <w:p w:rsidR="008577EC" w:rsidRDefault="008577EC">
      <w:pPr>
        <w:spacing w:before="0" w:beforeAutospacing="0" w:after="0" w:afterAutospacing="0"/>
      </w:pPr>
      <w:r>
        <w:br/>
        <w:t> </w:t>
      </w:r>
      <w:r>
        <w:br/>
        <w:t> </w:t>
      </w:r>
      <w:r>
        <w:br/>
        <w:t> </w:t>
      </w:r>
      <w:r>
        <w:br/>
        <w:t> </w:t>
      </w:r>
      <w:r>
        <w:br/>
        <w:t> </w:t>
      </w:r>
      <w:r>
        <w:br/>
        <w:t> </w:t>
      </w:r>
      <w:r>
        <w:br/>
        <w:t> </w:t>
      </w:r>
      <w:r>
        <w:br/>
        <w:t xml:space="preserve">  </w:t>
      </w:r>
    </w:p>
    <w:sectPr w:rsidR="008577E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1F9"/>
    <w:rsid w:val="008577EC"/>
    <w:rsid w:val="00EA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803B3C6-6CEA-42DB-9772-4DA98A18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100" w:afterAutospacing="1"/>
    </w:pPr>
    <w:rPr>
      <w:rFonts w:ascii="Times" w:hAnsi="Times"/>
    </w:rPr>
  </w:style>
  <w:style w:type="paragraph" w:styleId="Heading1">
    <w:name w:val="heading 1"/>
    <w:basedOn w:val="Normal"/>
    <w:qFormat/>
    <w:pPr>
      <w:outlineLvl w:val="0"/>
    </w:pPr>
    <w:rPr>
      <w:b/>
      <w:kern w:val="36"/>
      <w:sz w:val="48"/>
    </w:rPr>
  </w:style>
  <w:style w:type="paragraph" w:styleId="Heading3">
    <w:name w:val="heading 3"/>
    <w:basedOn w:val="Normal"/>
    <w:qFormat/>
    <w:pPr>
      <w:outlineLvl w:val="2"/>
    </w:pPr>
    <w:rPr>
      <w:b/>
      <w:sz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Pr>
      <w:rFonts w:eastAsia="Times"/>
    </w:rPr>
  </w:style>
  <w:style w:type="character" w:styleId="Hyperlink">
    <w:name w:val="Hyperlink"/>
    <w:rPr>
      <w:color w:val="0000FF"/>
      <w:u w:val="single"/>
    </w:rPr>
  </w:style>
  <w:style w:type="character" w:styleId="FollowedHyperlink">
    <w:name w:val="Followed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file:///C:\Users\chloe.schaefer\Downloads\home.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D1B4B03E9CC4698987C706C095295" ma:contentTypeVersion="55" ma:contentTypeDescription="Create a new document." ma:contentTypeScope="" ma:versionID="16cacaf4b54ee3f4d29e3d2b246e9cfd">
  <xsd:schema xmlns:xsd="http://www.w3.org/2001/XMLSchema" xmlns:xs="http://www.w3.org/2001/XMLSchema" xmlns:p="http://schemas.microsoft.com/office/2006/metadata/properties" xmlns:ns2="ca10bfc4-f870-4cc3-8a61-ea9a369e3574" xmlns:ns3="9be3f55f-8098-485e-a615-a10e4181e135" xmlns:ns4="5d982bf3-a48c-4351-8fdb-12b10060851e" targetNamespace="http://schemas.microsoft.com/office/2006/metadata/properties" ma:root="true" ma:fieldsID="69ffdf7474610717fc4bce8c8551b6ce" ns2:_="" ns3:_="" ns4:_="">
    <xsd:import namespace="ca10bfc4-f870-4cc3-8a61-ea9a369e3574"/>
    <xsd:import namespace="9be3f55f-8098-485e-a615-a10e4181e135"/>
    <xsd:import namespace="5d982bf3-a48c-4351-8fdb-12b10060851e"/>
    <xsd:element name="properties">
      <xsd:complexType>
        <xsd:sequence>
          <xsd:element name="documentManagement">
            <xsd:complexType>
              <xsd:all>
                <xsd:element ref="ns2:oaa5fb68ba3042ed8551f4ed64a3c008" minOccurs="0"/>
                <xsd:element ref="ns3:TaxCatchAll" minOccurs="0"/>
                <xsd:element ref="ns4:ia4fe8ee8d364c9f8d8b37e8c9aeedb6" minOccurs="0"/>
                <xsd:element ref="ns2:h112d938ec0d43dd9854c9c3eeef9a58" minOccurs="0"/>
                <xsd:element ref="ns2:pf601aed3de749a898c3b06239b052af" minOccurs="0"/>
                <xsd:element ref="ns2:h7e9c4cc72fb4de094bf87e96890c0c2" minOccurs="0"/>
                <xsd:element ref="ns4:i9c9596f82c543bc9aa3641fe01e04e0" minOccurs="0"/>
                <xsd:element ref="ns4:a7a4ed5f46e14ad1b45248d4421aa037" minOccurs="0"/>
                <xsd:element ref="ns4:db9f2eab8151411a8f1a13393d29ebb8" minOccurs="0"/>
                <xsd:element ref="ns4:a7e4010d7db74f61a5af14041442919b" minOccurs="0"/>
                <xsd:element ref="ns2:MediaServiceMetadata" minOccurs="0"/>
                <xsd:element ref="ns2:MediaServiceFastMetadata" minOccurs="0"/>
                <xsd:element ref="ns2:MediaServiceAutoTags" minOccurs="0"/>
                <xsd:element ref="ns2:MediaServiceOCR" minOccurs="0"/>
                <xsd:element ref="ns4:ned4871b43f142479a1da9e4dec3ead3" minOccurs="0"/>
                <xsd:element ref="ns4:pd51286b66fa4a86843a97fa5c0abf9b" minOccurs="0"/>
                <xsd:element ref="ns4:k20b5b353c2d4a59a44170cce5889c20" minOccurs="0"/>
                <xsd:element ref="ns4:l91667a489774ae597c235a47c1dd5a1" minOccurs="0"/>
                <xsd:element ref="ns4:ib7c164d558f4f8fbf80e7a2d2aa7fd8"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0bfc4-f870-4cc3-8a61-ea9a369e3574" elementFormDefault="qualified">
    <xsd:import namespace="http://schemas.microsoft.com/office/2006/documentManagement/types"/>
    <xsd:import namespace="http://schemas.microsoft.com/office/infopath/2007/PartnerControls"/>
    <xsd:element name="oaa5fb68ba3042ed8551f4ed64a3c008" ma:index="9" nillable="true" ma:taxonomy="true" ma:internalName="oaa5fb68ba3042ed8551f4ed64a3c008" ma:taxonomyFieldName="Public_x0020_Web_x0020_Files" ma:displayName="Public Web Files" ma:default="101;#Resource Center|9932c02a-dfc7-4cbe-ae78-3976b987aa6a" ma:fieldId="{8aa5fb68-ba30-42ed-8551-f4ed64a3c008}" ma:sspId="cceb9721-df7c-4dbc-8f19-77f5dc396abe" ma:termSetId="3a3b1e03-2606-4712-baee-4715bbe485c1" ma:anchorId="00000000-0000-0000-0000-000000000000" ma:open="false" ma:isKeyword="false">
      <xsd:complexType>
        <xsd:sequence>
          <xsd:element ref="pc:Terms" minOccurs="0" maxOccurs="1"/>
        </xsd:sequence>
      </xsd:complexType>
    </xsd:element>
    <xsd:element name="h112d938ec0d43dd9854c9c3eeef9a58" ma:index="14" nillable="true" ma:taxonomy="true" ma:internalName="h112d938ec0d43dd9854c9c3eeef9a58" ma:taxonomyFieldName="Program_x0020_Area" ma:displayName="Program Area" ma:readOnly="false" ma:default="" ma:fieldId="{1112d938-ec0d-43dd-9854-c9c3eeef9a58}" ma:taxonomyMulti="true" ma:sspId="cceb9721-df7c-4dbc-8f19-77f5dc396abe" ma:termSetId="bbb3c8d7-3f85-4b92-b602-0a181370541a" ma:anchorId="00000000-0000-0000-0000-000000000000" ma:open="false" ma:isKeyword="false">
      <xsd:complexType>
        <xsd:sequence>
          <xsd:element ref="pc:Terms" minOccurs="0" maxOccurs="1"/>
        </xsd:sequence>
      </xsd:complexType>
    </xsd:element>
    <xsd:element name="pf601aed3de749a898c3b06239b052af" ma:index="16" nillable="true" ma:taxonomy="true" ma:internalName="pf601aed3de749a898c3b06239b052af" ma:taxonomyFieldName="Agency" ma:displayName="Agency" ma:readOnly="false" ma:default="" ma:fieldId="{9f601aed-3de7-49a8-98c3-b06239b052af}" ma:sspId="cceb9721-df7c-4dbc-8f19-77f5dc396abe" ma:termSetId="a014325f-77f6-4581-a969-155462e883c4" ma:anchorId="00000000-0000-0000-0000-000000000000" ma:open="false" ma:isKeyword="false">
      <xsd:complexType>
        <xsd:sequence>
          <xsd:element ref="pc:Terms" minOccurs="0" maxOccurs="1"/>
        </xsd:sequence>
      </xsd:complexType>
    </xsd:element>
    <xsd:element name="h7e9c4cc72fb4de094bf87e96890c0c2" ma:index="18" nillable="true" ma:taxonomy="true" ma:internalName="h7e9c4cc72fb4de094bf87e96890c0c2" ma:taxonomyFieldName="Year" ma:displayName="Year" ma:indexed="true" ma:default="" ma:fieldId="{17e9c4cc-72fb-4de0-94bf-87e96890c0c2}" ma:sspId="cceb9721-df7c-4dbc-8f19-77f5dc396abe" ma:termSetId="038d3ef1-10e1-46c9-9eee-9c06d74a4573"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3f55f-8098-485e-a615-a10e4181e13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768a9f4-479c-4e6f-93d4-4292895fbc04}" ma:internalName="TaxCatchAll" ma:showField="CatchAllData" ma:web="9be3f55f-8098-485e-a615-a10e4181e1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982bf3-a48c-4351-8fdb-12b10060851e" elementFormDefault="qualified">
    <xsd:import namespace="http://schemas.microsoft.com/office/2006/documentManagement/types"/>
    <xsd:import namespace="http://schemas.microsoft.com/office/infopath/2007/PartnerControls"/>
    <xsd:element name="ia4fe8ee8d364c9f8d8b37e8c9aeedb6" ma:index="12" nillable="true" ma:taxonomy="true" ma:internalName="ia4fe8ee8d364c9f8d8b37e8c9aeedb6" ma:taxonomyFieldName="Town_x0020_or_x0020_Village" ma:displayName="Town or Village" ma:indexed="true" ma:default="" ma:fieldId="{2a4fe8ee-8d36-4c9f-8d8b-37e8c9aeedb6}" ma:sspId="cceb9721-df7c-4dbc-8f19-77f5dc396abe" ma:termSetId="64630a1b-9342-481d-953c-3caea2ee54e7" ma:anchorId="00000000-0000-0000-0000-000000000000" ma:open="false" ma:isKeyword="false">
      <xsd:complexType>
        <xsd:sequence>
          <xsd:element ref="pc:Terms" minOccurs="0" maxOccurs="1"/>
        </xsd:sequence>
      </xsd:complexType>
    </xsd:element>
    <xsd:element name="i9c9596f82c543bc9aa3641fe01e04e0" ma:index="20" nillable="true" ma:taxonomy="true" ma:internalName="i9c9596f82c543bc9aa3641fe01e04e0" ma:taxonomyFieldName="Audience" ma:displayName="Audience" ma:default="" ma:fieldId="{29c9596f-82c5-43bc-9aa3-641fe01e04e0}" ma:sspId="cceb9721-df7c-4dbc-8f19-77f5dc396abe" ma:termSetId="04fdb575-eede-4692-a6b8-75cd368c1d98" ma:anchorId="00000000-0000-0000-0000-000000000000" ma:open="false" ma:isKeyword="false">
      <xsd:complexType>
        <xsd:sequence>
          <xsd:element ref="pc:Terms" minOccurs="0" maxOccurs="1"/>
        </xsd:sequence>
      </xsd:complexType>
    </xsd:element>
    <xsd:element name="a7a4ed5f46e14ad1b45248d4421aa037" ma:index="22" nillable="true" ma:taxonomy="true" ma:internalName="a7a4ed5f46e14ad1b45248d4421aa037" ma:taxonomyFieldName="Keywords_x0020__x002d__x0020_Transportation" ma:displayName="Keywords - Transportation" ma:default="" ma:fieldId="{a7a4ed5f-46e1-4ad1-b452-48d4421aa037}" ma:taxonomyMulti="true" ma:sspId="cceb9721-df7c-4dbc-8f19-77f5dc396abe" ma:termSetId="6d4467c4-601f-436b-b204-71bed0577f95" ma:anchorId="00000000-0000-0000-0000-000000000000" ma:open="false" ma:isKeyword="false">
      <xsd:complexType>
        <xsd:sequence>
          <xsd:element ref="pc:Terms" minOccurs="0" maxOccurs="1"/>
        </xsd:sequence>
      </xsd:complexType>
    </xsd:element>
    <xsd:element name="db9f2eab8151411a8f1a13393d29ebb8" ma:index="24" nillable="true" ma:taxonomy="true" ma:internalName="db9f2eab8151411a8f1a13393d29ebb8" ma:taxonomyFieldName="Keywords_x0020__x002d__x0020_Water" ma:displayName="Keywords - Water" ma:default="" ma:fieldId="{db9f2eab-8151-411a-8f1a-13393d29ebb8}" ma:sspId="cceb9721-df7c-4dbc-8f19-77f5dc396abe" ma:termSetId="4210cd9f-3ed2-469a-9ced-3e94b9dca9de" ma:anchorId="00000000-0000-0000-0000-000000000000" ma:open="false" ma:isKeyword="false">
      <xsd:complexType>
        <xsd:sequence>
          <xsd:element ref="pc:Terms" minOccurs="0" maxOccurs="1"/>
        </xsd:sequence>
      </xsd:complexType>
    </xsd:element>
    <xsd:element name="a7e4010d7db74f61a5af14041442919b" ma:index="26" nillable="true" ma:taxonomy="true" ma:internalName="a7e4010d7db74f61a5af14041442919b" ma:taxonomyFieldName="Regulatory_x0020_Review_x0020_Types" ma:displayName="Regulatory Review Types" ma:indexed="true" ma:default="" ma:fieldId="{a7e4010d-7db7-4f61-a5af-14041442919b}" ma:sspId="cceb9721-df7c-4dbc-8f19-77f5dc396abe" ma:termSetId="e757629f-12ed-4ccb-be55-a034738c244c" ma:anchorId="00000000-0000-0000-0000-000000000000" ma:open="false" ma:isKeyword="false">
      <xsd:complexType>
        <xsd:sequence>
          <xsd:element ref="pc:Terms" minOccurs="0" maxOccurs="1"/>
        </xsd:sequence>
      </xsd:complexType>
    </xsd:element>
    <xsd:element name="ned4871b43f142479a1da9e4dec3ead3" ma:index="32" nillable="true" ma:taxonomy="true" ma:internalName="ned4871b43f142479a1da9e4dec3ead3" ma:taxonomyFieldName="CCC_x0020_Plans" ma:displayName="CCC Plans" ma:default="" ma:fieldId="{7ed4871b-43f1-4247-9a1d-a9e4dec3ead3}" ma:sspId="cceb9721-df7c-4dbc-8f19-77f5dc396abe" ma:termSetId="e8cc82b8-12c0-455f-a3a2-81036c43199c" ma:anchorId="00000000-0000-0000-0000-000000000000" ma:open="false" ma:isKeyword="false">
      <xsd:complexType>
        <xsd:sequence>
          <xsd:element ref="pc:Terms" minOccurs="0" maxOccurs="1"/>
        </xsd:sequence>
      </xsd:complexType>
    </xsd:element>
    <xsd:element name="pd51286b66fa4a86843a97fa5c0abf9b" ma:index="34" nillable="true" ma:taxonomy="true" ma:internalName="pd51286b66fa4a86843a97fa5c0abf9b" ma:taxonomyFieldName="CCC_x0020_Keywords" ma:displayName="CCC Keywords" ma:default="" ma:fieldId="{9d51286b-66fa-4a86-843a-97fa5c0abf9b}" ma:taxonomyMulti="true" ma:sspId="cceb9721-df7c-4dbc-8f19-77f5dc396abe" ma:termSetId="237bb7e9-aef9-4b25-8f13-0a1384048748" ma:anchorId="00000000-0000-0000-0000-000000000000" ma:open="true" ma:isKeyword="false">
      <xsd:complexType>
        <xsd:sequence>
          <xsd:element ref="pc:Terms" minOccurs="0" maxOccurs="1"/>
        </xsd:sequence>
      </xsd:complexType>
    </xsd:element>
    <xsd:element name="k20b5b353c2d4a59a44170cce5889c20" ma:index="36" nillable="true" ma:taxonomy="true" ma:internalName="k20b5b353c2d4a59a44170cce5889c20" ma:taxonomyFieldName="CCC_x0020_Document_x0020_Type" ma:displayName="Document Type" ma:default="" ma:fieldId="{420b5b35-3c2d-4a59-a441-70cce5889c20}" ma:sspId="cceb9721-df7c-4dbc-8f19-77f5dc396abe" ma:termSetId="2f5adcc4-b536-4831-8487-2b04e936f6a9" ma:anchorId="00000000-0000-0000-0000-000000000000" ma:open="false" ma:isKeyword="false">
      <xsd:complexType>
        <xsd:sequence>
          <xsd:element ref="pc:Terms" minOccurs="0" maxOccurs="1"/>
        </xsd:sequence>
      </xsd:complexType>
    </xsd:element>
    <xsd:element name="l91667a489774ae597c235a47c1dd5a1" ma:index="38" nillable="true" ma:taxonomy="true" ma:internalName="l91667a489774ae597c235a47c1dd5a1" ma:taxonomyFieldName="Ponds" ma:displayName="Ponds" ma:default="" ma:fieldId="{591667a4-8977-4ae5-97c2-35a47c1dd5a1}" ma:sspId="cceb9721-df7c-4dbc-8f19-77f5dc396abe" ma:termSetId="385aa2a5-0b18-417f-9956-c266871a2417" ma:anchorId="00000000-0000-0000-0000-000000000000" ma:open="false" ma:isKeyword="false">
      <xsd:complexType>
        <xsd:sequence>
          <xsd:element ref="pc:Terms" minOccurs="0" maxOccurs="1"/>
        </xsd:sequence>
      </xsd:complexType>
    </xsd:element>
    <xsd:element name="ib7c164d558f4f8fbf80e7a2d2aa7fd8" ma:index="40" nillable="true" ma:taxonomy="true" ma:internalName="ib7c164d558f4f8fbf80e7a2d2aa7fd8" ma:taxonomyFieldName="Roadways" ma:displayName="Roadways" ma:default="" ma:fieldId="{2b7c164d-558f-4f8f-bf80-e7a2d2aa7fd8}" ma:sspId="cceb9721-df7c-4dbc-8f19-77f5dc396abe" ma:termSetId="7cd626af-cc52-406a-afbf-52a94ef68f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f601aed3de749a898c3b06239b052af xmlns="ca10bfc4-f870-4cc3-8a61-ea9a369e3574">
      <Terms xmlns="http://schemas.microsoft.com/office/infopath/2007/PartnerControls"/>
    </pf601aed3de749a898c3b06239b052af>
    <oaa5fb68ba3042ed8551f4ed64a3c008 xmlns="ca10bfc4-f870-4cc3-8a61-ea9a369e3574">
      <Terms xmlns="http://schemas.microsoft.com/office/infopath/2007/PartnerControls">
        <TermInfo xmlns="http://schemas.microsoft.com/office/infopath/2007/PartnerControls">
          <TermName xmlns="http://schemas.microsoft.com/office/infopath/2007/PartnerControls">Resource Center</TermName>
          <TermId xmlns="http://schemas.microsoft.com/office/infopath/2007/PartnerControls">9932c02a-dfc7-4cbe-ae78-3976b987aa6a</TermId>
        </TermInfo>
      </Terms>
    </oaa5fb68ba3042ed8551f4ed64a3c008>
    <l91667a489774ae597c235a47c1dd5a1 xmlns="5d982bf3-a48c-4351-8fdb-12b10060851e">
      <Terms xmlns="http://schemas.microsoft.com/office/infopath/2007/PartnerControls"/>
    </l91667a489774ae597c235a47c1dd5a1>
    <k20b5b353c2d4a59a44170cce5889c20 xmlns="5d982bf3-a48c-4351-8fdb-12b10060851e">
      <Terms xmlns="http://schemas.microsoft.com/office/infopath/2007/PartnerControls"/>
    </k20b5b353c2d4a59a44170cce5889c20>
    <TaxCatchAll xmlns="9be3f55f-8098-485e-a615-a10e4181e135"/>
    <ned4871b43f142479a1da9e4dec3ead3 xmlns="5d982bf3-a48c-4351-8fdb-12b10060851e">
      <Terms xmlns="http://schemas.microsoft.com/office/infopath/2007/PartnerControls"/>
    </ned4871b43f142479a1da9e4dec3ead3>
    <a7a4ed5f46e14ad1b45248d4421aa037 xmlns="5d982bf3-a48c-4351-8fdb-12b10060851e">
      <Terms xmlns="http://schemas.microsoft.com/office/infopath/2007/PartnerControls"/>
    </a7a4ed5f46e14ad1b45248d4421aa037>
    <db9f2eab8151411a8f1a13393d29ebb8 xmlns="5d982bf3-a48c-4351-8fdb-12b10060851e">
      <Terms xmlns="http://schemas.microsoft.com/office/infopath/2007/PartnerControls"/>
    </db9f2eab8151411a8f1a13393d29ebb8>
    <a7e4010d7db74f61a5af14041442919b xmlns="5d982bf3-a48c-4351-8fdb-12b10060851e">
      <Terms xmlns="http://schemas.microsoft.com/office/infopath/2007/PartnerControls"/>
    </a7e4010d7db74f61a5af14041442919b>
    <pd51286b66fa4a86843a97fa5c0abf9b xmlns="5d982bf3-a48c-4351-8fdb-12b10060851e">
      <Terms xmlns="http://schemas.microsoft.com/office/infopath/2007/PartnerControls"/>
    </pd51286b66fa4a86843a97fa5c0abf9b>
    <i9c9596f82c543bc9aa3641fe01e04e0 xmlns="5d982bf3-a48c-4351-8fdb-12b10060851e">
      <Terms xmlns="http://schemas.microsoft.com/office/infopath/2007/PartnerControls"/>
    </i9c9596f82c543bc9aa3641fe01e04e0>
    <ib7c164d558f4f8fbf80e7a2d2aa7fd8 xmlns="5d982bf3-a48c-4351-8fdb-12b10060851e">
      <Terms xmlns="http://schemas.microsoft.com/office/infopath/2007/PartnerControls"/>
    </ib7c164d558f4f8fbf80e7a2d2aa7fd8>
    <ia4fe8ee8d364c9f8d8b37e8c9aeedb6 xmlns="5d982bf3-a48c-4351-8fdb-12b10060851e">
      <Terms xmlns="http://schemas.microsoft.com/office/infopath/2007/PartnerControls"/>
    </ia4fe8ee8d364c9f8d8b37e8c9aeedb6>
    <h112d938ec0d43dd9854c9c3eeef9a58 xmlns="ca10bfc4-f870-4cc3-8a61-ea9a369e3574">
      <Terms xmlns="http://schemas.microsoft.com/office/infopath/2007/PartnerControls"/>
    </h112d938ec0d43dd9854c9c3eeef9a58>
    <h7e9c4cc72fb4de094bf87e96890c0c2 xmlns="ca10bfc4-f870-4cc3-8a61-ea9a369e3574">
      <Terms xmlns="http://schemas.microsoft.com/office/infopath/2007/PartnerControls"/>
    </h7e9c4cc72fb4de094bf87e96890c0c2>
  </documentManagement>
</p:properties>
</file>

<file path=customXml/itemProps1.xml><?xml version="1.0" encoding="utf-8"?>
<ds:datastoreItem xmlns:ds="http://schemas.openxmlformats.org/officeDocument/2006/customXml" ds:itemID="{E3073E16-C95A-4565-BCA3-11BAECF5EBE0}">
  <ds:schemaRefs>
    <ds:schemaRef ds:uri="http://schemas.microsoft.com/sharepoint/v3/contenttype/forms"/>
  </ds:schemaRefs>
</ds:datastoreItem>
</file>

<file path=customXml/itemProps2.xml><?xml version="1.0" encoding="utf-8"?>
<ds:datastoreItem xmlns:ds="http://schemas.openxmlformats.org/officeDocument/2006/customXml" ds:itemID="{4E490B91-09B3-456B-AEFE-3634C4F32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0bfc4-f870-4cc3-8a61-ea9a369e3574"/>
    <ds:schemaRef ds:uri="9be3f55f-8098-485e-a615-a10e4181e135"/>
    <ds:schemaRef ds:uri="5d982bf3-a48c-4351-8fdb-12b100608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3548F-63B4-413E-8703-E8397600D877}">
  <ds:schemaRefs>
    <ds:schemaRef ds:uri="http://schemas.microsoft.com/office/2006/metadata/properties"/>
    <ds:schemaRef ds:uri="http://schemas.microsoft.com/office/infopath/2007/PartnerControls"/>
    <ds:schemaRef ds:uri="ca10bfc4-f870-4cc3-8a61-ea9a369e3574"/>
    <ds:schemaRef ds:uri="5d982bf3-a48c-4351-8fdb-12b10060851e"/>
    <ds:schemaRef ds:uri="9be3f55f-8098-485e-a615-a10e4181e1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5858</Words>
  <Characters>33392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Cape Cod Commission: Model Bylaws and Regulations</vt:lpstr>
    </vt:vector>
  </TitlesOfParts>
  <Company>Cape Cod Commission</Company>
  <LinksUpToDate>false</LinksUpToDate>
  <CharactersWithSpaces>39172</CharactersWithSpaces>
  <SharedDoc>false</SharedDoc>
  <HLinks>
    <vt:vector size="6" baseType="variant">
      <vt:variant>
        <vt:i4>6225935</vt:i4>
      </vt:variant>
      <vt:variant>
        <vt:i4>0</vt:i4>
      </vt:variant>
      <vt:variant>
        <vt:i4>0</vt:i4>
      </vt:variant>
      <vt:variant>
        <vt:i4>5</vt:i4>
      </vt:variant>
      <vt:variant>
        <vt:lpwstr>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Commission: Model Bylaws and Regulations</dc:title>
  <dc:subject/>
  <dc:creator>Nancy Hossfeld</dc:creator>
  <cp:keywords/>
  <cp:lastModifiedBy>Chloe Schaefer</cp:lastModifiedBy>
  <cp:revision>2</cp:revision>
  <dcterms:created xsi:type="dcterms:W3CDTF">2019-08-23T18:58:00Z</dcterms:created>
  <dcterms:modified xsi:type="dcterms:W3CDTF">2019-08-23T18:58:00Z</dcterms:modified>
</cp:coreProperties>
</file>